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a5c301b350814b3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E28A7" w:rsidRPr="004C6006" w:rsidTr="00A26BF5">
        <w:tc>
          <w:tcPr>
            <w:tcW w:w="4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E28A7" w:rsidRPr="004C6006" w:rsidRDefault="00FE28A7" w:rsidP="004C6006">
            <w:pPr>
              <w:spacing w:before="120" w:after="120"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4C6006">
              <w:rPr>
                <w:sz w:val="24"/>
                <w:szCs w:val="24"/>
                <w:lang w:eastAsia="en-US"/>
              </w:rPr>
              <w:t>Č.j.</w:t>
            </w:r>
            <w:proofErr w:type="gramEnd"/>
            <w:r w:rsidRPr="004C6006">
              <w:rPr>
                <w:sz w:val="24"/>
                <w:szCs w:val="24"/>
                <w:lang w:eastAsia="en-US"/>
              </w:rPr>
              <w:t xml:space="preserve">: </w:t>
            </w:r>
            <w:r w:rsidR="004C6006">
              <w:rPr>
                <w:sz w:val="24"/>
                <w:szCs w:val="24"/>
                <w:lang w:eastAsia="en-US"/>
              </w:rPr>
              <w:t>26ZA-002757</w:t>
            </w:r>
          </w:p>
        </w:tc>
        <w:tc>
          <w:tcPr>
            <w:tcW w:w="45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FE28A7" w:rsidRPr="004C6006" w:rsidRDefault="00FE28A7" w:rsidP="004C6006">
            <w:pPr>
              <w:spacing w:before="120" w:after="120" w:line="276" w:lineRule="auto"/>
              <w:rPr>
                <w:sz w:val="24"/>
                <w:szCs w:val="24"/>
                <w:lang w:eastAsia="en-US"/>
              </w:rPr>
            </w:pPr>
            <w:r w:rsidRPr="004C6006">
              <w:rPr>
                <w:sz w:val="24"/>
                <w:szCs w:val="24"/>
                <w:lang w:eastAsia="en-US"/>
              </w:rPr>
              <w:t xml:space="preserve">Vyřizuje: </w:t>
            </w:r>
            <w:r w:rsidR="004C6006">
              <w:rPr>
                <w:sz w:val="24"/>
                <w:szCs w:val="24"/>
              </w:rPr>
              <w:t>Geisselreiterová Dana</w:t>
            </w:r>
          </w:p>
        </w:tc>
      </w:tr>
    </w:tbl>
    <w:p w:rsidR="00FE28A7" w:rsidRPr="004C6006" w:rsidRDefault="00FE28A7" w:rsidP="00FE28A7">
      <w:pPr>
        <w:spacing w:before="360" w:line="276" w:lineRule="auto"/>
        <w:jc w:val="center"/>
        <w:rPr>
          <w:b/>
          <w:sz w:val="24"/>
          <w:szCs w:val="24"/>
        </w:rPr>
      </w:pPr>
      <w:r w:rsidRPr="004C6006">
        <w:rPr>
          <w:sz w:val="24"/>
          <w:szCs w:val="24"/>
        </w:rPr>
        <w:t xml:space="preserve"> </w:t>
      </w:r>
      <w:r w:rsidRPr="004C6006">
        <w:rPr>
          <w:b/>
          <w:sz w:val="24"/>
          <w:szCs w:val="24"/>
        </w:rPr>
        <w:t>VÝZVA  K  PODÁNÍ  NABÍDKY</w:t>
      </w:r>
    </w:p>
    <w:p w:rsidR="00FE28A7" w:rsidRPr="004C6006" w:rsidRDefault="00FE28A7" w:rsidP="00FE28A7">
      <w:pPr>
        <w:pStyle w:val="Zkladntext3"/>
        <w:spacing w:after="60" w:line="276" w:lineRule="auto"/>
        <w:jc w:val="both"/>
        <w:rPr>
          <w:sz w:val="24"/>
          <w:szCs w:val="24"/>
        </w:rPr>
      </w:pPr>
    </w:p>
    <w:p w:rsidR="00FE28A7" w:rsidRPr="004C6006" w:rsidRDefault="00FE28A7" w:rsidP="00FE28A7">
      <w:pPr>
        <w:pStyle w:val="Zkladntext3"/>
        <w:spacing w:after="60" w:line="276" w:lineRule="auto"/>
        <w:jc w:val="both"/>
        <w:rPr>
          <w:sz w:val="24"/>
          <w:szCs w:val="24"/>
        </w:rPr>
      </w:pPr>
      <w:r w:rsidRPr="004C6006">
        <w:rPr>
          <w:sz w:val="24"/>
          <w:szCs w:val="24"/>
        </w:rPr>
        <w:t>Ředitelství silnic a dálnic ČR, se sídlem Na Pankráci 546/56, 140 00 Praha 4, jakožto zadavatel (dále jen „Zadavatel“) při zadávání veřejné zakázky na základě rámcové dohody s názvem „</w:t>
      </w:r>
      <w:r w:rsidRPr="004C6006">
        <w:rPr>
          <w:rFonts w:cs="Times"/>
          <w:color w:val="000000"/>
          <w:sz w:val="24"/>
          <w:szCs w:val="24"/>
        </w:rPr>
        <w:t>D1 Běžné prohlídky mostů</w:t>
      </w:r>
      <w:r w:rsidR="004C6006">
        <w:rPr>
          <w:rFonts w:cs="Times"/>
          <w:color w:val="000000"/>
          <w:sz w:val="24"/>
          <w:szCs w:val="24"/>
        </w:rPr>
        <w:t xml:space="preserve"> - 2021</w:t>
      </w:r>
      <w:r w:rsidRPr="004C6006">
        <w:rPr>
          <w:sz w:val="24"/>
          <w:szCs w:val="24"/>
        </w:rPr>
        <w:t>“ Vás tímto vyzývá v souladu s  § 135 zákona č. 134/2016 Sb., o zadávání veřejných zakázek, ve znění pozdějších předpisů (dále jen „zákon“), a uzavřenou rámcovou dohodou s </w:t>
      </w:r>
      <w:r w:rsidRPr="004C6006">
        <w:rPr>
          <w:color w:val="000000" w:themeColor="text1"/>
          <w:sz w:val="24"/>
          <w:szCs w:val="24"/>
        </w:rPr>
        <w:t xml:space="preserve">názvem </w:t>
      </w:r>
      <w:r w:rsidR="004714DC" w:rsidRPr="004C6006">
        <w:rPr>
          <w:b/>
          <w:color w:val="000000" w:themeColor="text1"/>
          <w:sz w:val="24"/>
          <w:szCs w:val="24"/>
        </w:rPr>
        <w:t>Provedení běžných prohlídek mostů a propustků – oblast 2</w:t>
      </w:r>
      <w:r w:rsidR="00475AE4" w:rsidRPr="004C6006">
        <w:rPr>
          <w:snapToGrid w:val="0"/>
          <w:color w:val="000000" w:themeColor="text1"/>
          <w:sz w:val="24"/>
          <w:szCs w:val="24"/>
        </w:rPr>
        <w:t>, číslo Rámcové dohody 01PU-005124</w:t>
      </w:r>
      <w:r w:rsidRPr="004C6006">
        <w:rPr>
          <w:color w:val="000000" w:themeColor="text1"/>
          <w:sz w:val="24"/>
          <w:szCs w:val="24"/>
        </w:rPr>
        <w:t xml:space="preserve">, ev. č. ve Věstníku veřejných zakázek </w:t>
      </w:r>
      <w:r w:rsidR="004714DC" w:rsidRPr="004C6006">
        <w:rPr>
          <w:color w:val="000000" w:themeColor="text1"/>
          <w:sz w:val="24"/>
          <w:szCs w:val="24"/>
        </w:rPr>
        <w:t>Z2021</w:t>
      </w:r>
      <w:r w:rsidRPr="004C6006">
        <w:rPr>
          <w:color w:val="000000" w:themeColor="text1"/>
          <w:sz w:val="24"/>
          <w:szCs w:val="24"/>
        </w:rPr>
        <w:t>-0</w:t>
      </w:r>
      <w:r w:rsidR="004714DC" w:rsidRPr="004C6006">
        <w:rPr>
          <w:color w:val="000000" w:themeColor="text1"/>
          <w:sz w:val="24"/>
          <w:szCs w:val="24"/>
        </w:rPr>
        <w:t>05269</w:t>
      </w:r>
      <w:r w:rsidRPr="004C6006">
        <w:rPr>
          <w:color w:val="FF0000"/>
          <w:sz w:val="24"/>
          <w:szCs w:val="24"/>
        </w:rPr>
        <w:t xml:space="preserve"> </w:t>
      </w:r>
      <w:r w:rsidRPr="004C6006">
        <w:rPr>
          <w:sz w:val="24"/>
          <w:szCs w:val="24"/>
        </w:rPr>
        <w:t>(dále jen „Rámcová dohoda), k podání nabídky a poskytuje Vám následující informace.</w:t>
      </w:r>
    </w:p>
    <w:p w:rsidR="00FE28A7" w:rsidRPr="004C6006" w:rsidRDefault="00FE28A7" w:rsidP="00FE28A7">
      <w:pPr>
        <w:rPr>
          <w:sz w:val="24"/>
          <w:szCs w:val="24"/>
        </w:rPr>
      </w:pPr>
    </w:p>
    <w:p w:rsidR="00FE28A7" w:rsidRPr="004C6006" w:rsidRDefault="00FE28A7" w:rsidP="00FE28A7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b/>
          <w:snapToGrid w:val="0"/>
          <w:sz w:val="24"/>
          <w:szCs w:val="24"/>
        </w:rPr>
      </w:pPr>
      <w:r w:rsidRPr="004C6006">
        <w:rPr>
          <w:b/>
          <w:snapToGrid w:val="0"/>
          <w:sz w:val="24"/>
          <w:szCs w:val="24"/>
        </w:rPr>
        <w:t>Identifikační údaje zadavatele, další informace</w:t>
      </w:r>
    </w:p>
    <w:tbl>
      <w:tblPr>
        <w:tblW w:w="48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3"/>
        <w:gridCol w:w="4467"/>
      </w:tblGrid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Název zadavatele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sz w:val="24"/>
                <w:szCs w:val="24"/>
                <w:lang w:eastAsia="en-US"/>
              </w:rPr>
            </w:pPr>
            <w:r w:rsidRPr="004C6006">
              <w:rPr>
                <w:iCs/>
                <w:sz w:val="24"/>
                <w:szCs w:val="24"/>
                <w:lang w:eastAsia="en-US"/>
              </w:rPr>
              <w:t>Ředitelství silnic a dálnic ČR</w:t>
            </w:r>
          </w:p>
        </w:tc>
      </w:tr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Sídlo zadavatele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iCs/>
                <w:sz w:val="24"/>
                <w:szCs w:val="24"/>
                <w:lang w:eastAsia="en-US"/>
              </w:rPr>
            </w:pPr>
            <w:r w:rsidRPr="004C6006">
              <w:rPr>
                <w:iCs/>
                <w:sz w:val="24"/>
                <w:szCs w:val="24"/>
                <w:lang w:eastAsia="en-US"/>
              </w:rPr>
              <w:t xml:space="preserve">Na Pankráci 546/56, 140 00 Praha 4 </w:t>
            </w:r>
          </w:p>
        </w:tc>
      </w:tr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Datová schránka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iCs/>
                <w:sz w:val="24"/>
                <w:szCs w:val="24"/>
                <w:lang w:eastAsia="en-US"/>
              </w:rPr>
            </w:pPr>
            <w:r w:rsidRPr="004C6006">
              <w:rPr>
                <w:sz w:val="24"/>
                <w:szCs w:val="24"/>
                <w:lang w:eastAsia="en-US"/>
              </w:rPr>
              <w:t>zjq4rhz</w:t>
            </w:r>
          </w:p>
        </w:tc>
      </w:tr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IČO zadavatele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sz w:val="24"/>
                <w:szCs w:val="24"/>
                <w:lang w:eastAsia="en-US"/>
              </w:rPr>
            </w:pPr>
            <w:r w:rsidRPr="004C6006">
              <w:rPr>
                <w:iCs/>
                <w:sz w:val="24"/>
                <w:szCs w:val="24"/>
                <w:lang w:eastAsia="en-US"/>
              </w:rPr>
              <w:t>65993390</w:t>
            </w:r>
          </w:p>
        </w:tc>
      </w:tr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DIČ zadavatele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iCs/>
                <w:sz w:val="24"/>
                <w:szCs w:val="24"/>
                <w:lang w:eastAsia="en-US"/>
              </w:rPr>
            </w:pPr>
            <w:r w:rsidRPr="004C6006">
              <w:rPr>
                <w:iCs/>
                <w:sz w:val="24"/>
                <w:szCs w:val="24"/>
                <w:lang w:eastAsia="en-US"/>
              </w:rPr>
              <w:t>CZ65993390</w:t>
            </w:r>
          </w:p>
        </w:tc>
      </w:tr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C6006">
              <w:rPr>
                <w:b/>
                <w:color w:val="000000" w:themeColor="text1"/>
                <w:sz w:val="24"/>
                <w:szCs w:val="24"/>
                <w:lang w:eastAsia="en-US"/>
              </w:rPr>
              <w:t>Osoba oprávněná zastupovat zadavatele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752DAE" w:rsidP="00A26BF5">
            <w:pPr>
              <w:widowControl w:val="0"/>
              <w:spacing w:after="60"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4C6006">
              <w:rPr>
                <w:iCs/>
                <w:color w:val="000000" w:themeColor="text1"/>
                <w:sz w:val="24"/>
                <w:szCs w:val="24"/>
                <w:lang w:eastAsia="en-US"/>
              </w:rPr>
              <w:t>Bc. František Sedláček, ředitel provozního úseku</w:t>
            </w:r>
          </w:p>
        </w:tc>
      </w:tr>
      <w:tr w:rsidR="00FE28A7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Útvar zadavatele zajišťující administrativu veřejné zakázky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8A7" w:rsidRPr="004C6006" w:rsidRDefault="00FE28A7" w:rsidP="00A26BF5">
            <w:pPr>
              <w:widowControl w:val="0"/>
              <w:spacing w:after="60" w:line="276" w:lineRule="auto"/>
              <w:rPr>
                <w:noProof/>
                <w:sz w:val="24"/>
                <w:szCs w:val="24"/>
              </w:rPr>
            </w:pPr>
            <w:r w:rsidRPr="004C6006">
              <w:rPr>
                <w:iCs/>
                <w:sz w:val="24"/>
                <w:szCs w:val="24"/>
                <w:lang w:eastAsia="en-US"/>
              </w:rPr>
              <w:t xml:space="preserve">Ředitelství silnic a dálnic ČR, </w:t>
            </w:r>
          </w:p>
          <w:p w:rsidR="00FE28A7" w:rsidRPr="004C6006" w:rsidRDefault="00FE28A7" w:rsidP="00A26BF5">
            <w:pPr>
              <w:widowControl w:val="0"/>
              <w:spacing w:after="60" w:line="276" w:lineRule="auto"/>
              <w:rPr>
                <w:noProof/>
                <w:sz w:val="24"/>
                <w:szCs w:val="24"/>
              </w:rPr>
            </w:pPr>
            <w:r w:rsidRPr="004C6006">
              <w:rPr>
                <w:noProof/>
                <w:sz w:val="24"/>
                <w:szCs w:val="24"/>
              </w:rPr>
              <w:t xml:space="preserve">SSÚD </w:t>
            </w:r>
            <w:r w:rsidR="004C6006">
              <w:rPr>
                <w:noProof/>
                <w:sz w:val="24"/>
                <w:szCs w:val="24"/>
              </w:rPr>
              <w:t>4 Domašov</w:t>
            </w:r>
          </w:p>
          <w:p w:rsidR="00FE28A7" w:rsidRPr="004C6006" w:rsidRDefault="004C6006" w:rsidP="00A26BF5">
            <w:pPr>
              <w:widowControl w:val="0"/>
              <w:spacing w:after="60" w:line="276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Lesní 1</w:t>
            </w:r>
          </w:p>
          <w:p w:rsidR="00FE28A7" w:rsidRPr="004C6006" w:rsidRDefault="004C6006" w:rsidP="00A26BF5">
            <w:pPr>
              <w:widowControl w:val="0"/>
              <w:spacing w:after="60" w:line="276" w:lineRule="auto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</w:rPr>
              <w:t>664 83 Domašov</w:t>
            </w:r>
            <w:r w:rsidR="00FE28A7" w:rsidRPr="004C6006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C6006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C6006" w:rsidRPr="004C6006" w:rsidRDefault="004C6006" w:rsidP="004C6006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Kontaktní osoba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06" w:rsidRPr="00CF2A18" w:rsidRDefault="004C6006" w:rsidP="004C6006">
            <w:pPr>
              <w:widowControl w:val="0"/>
              <w:spacing w:after="60" w:line="276" w:lineRule="auto"/>
              <w:jc w:val="both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Roman Příhoda</w:t>
            </w:r>
          </w:p>
        </w:tc>
      </w:tr>
      <w:tr w:rsidR="004C6006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C6006" w:rsidRPr="004C6006" w:rsidRDefault="004C6006" w:rsidP="004C6006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06" w:rsidRPr="00CF2A18" w:rsidRDefault="004C6006" w:rsidP="004C6006">
            <w:pPr>
              <w:widowControl w:val="0"/>
              <w:spacing w:after="60" w:line="276" w:lineRule="auto"/>
              <w:jc w:val="both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607 031 310</w:t>
            </w:r>
          </w:p>
        </w:tc>
      </w:tr>
      <w:tr w:rsidR="004C6006" w:rsidRPr="004C6006" w:rsidTr="00A26BF5">
        <w:trPr>
          <w:trHeight w:val="454"/>
        </w:trPr>
        <w:tc>
          <w:tcPr>
            <w:tcW w:w="2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C6006" w:rsidRPr="004C6006" w:rsidRDefault="004C6006" w:rsidP="004C6006">
            <w:pPr>
              <w:widowControl w:val="0"/>
              <w:spacing w:after="60" w:line="276" w:lineRule="auto"/>
              <w:rPr>
                <w:b/>
                <w:sz w:val="24"/>
                <w:szCs w:val="24"/>
                <w:lang w:eastAsia="en-US"/>
              </w:rPr>
            </w:pPr>
            <w:r w:rsidRPr="004C6006">
              <w:rPr>
                <w:b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006" w:rsidRPr="00CF2A18" w:rsidRDefault="004C6006" w:rsidP="004C6006">
            <w:pPr>
              <w:widowControl w:val="0"/>
              <w:spacing w:after="60" w:line="276" w:lineRule="auto"/>
              <w:jc w:val="both"/>
              <w:rPr>
                <w:sz w:val="24"/>
                <w:szCs w:val="24"/>
                <w:highlight w:val="green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roman.prihoda</w:t>
            </w:r>
            <w:r w:rsidRPr="00CF2A18">
              <w:rPr>
                <w:iCs/>
                <w:sz w:val="24"/>
                <w:szCs w:val="24"/>
                <w:lang w:eastAsia="en-US"/>
              </w:rPr>
              <w:t>@rsd.cz</w:t>
            </w:r>
          </w:p>
        </w:tc>
      </w:tr>
    </w:tbl>
    <w:p w:rsidR="00FE28A7" w:rsidRPr="004C6006" w:rsidRDefault="00FE28A7" w:rsidP="00FE28A7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b/>
          <w:snapToGrid w:val="0"/>
          <w:sz w:val="24"/>
          <w:szCs w:val="24"/>
        </w:rPr>
      </w:pPr>
      <w:r w:rsidRPr="004C6006">
        <w:rPr>
          <w:b/>
          <w:snapToGrid w:val="0"/>
          <w:sz w:val="24"/>
          <w:szCs w:val="24"/>
        </w:rPr>
        <w:t>Vymezení a popis požadovaného plnění v rámci veřejné zakázky, soupis prací</w:t>
      </w:r>
    </w:p>
    <w:p w:rsidR="00FE28A7" w:rsidRPr="004C6006" w:rsidRDefault="00FE28A7" w:rsidP="00FE28A7">
      <w:pPr>
        <w:spacing w:after="60" w:line="276" w:lineRule="auto"/>
        <w:jc w:val="both"/>
        <w:rPr>
          <w:snapToGrid w:val="0"/>
          <w:sz w:val="24"/>
          <w:szCs w:val="24"/>
        </w:rPr>
      </w:pPr>
      <w:r w:rsidRPr="004C6006">
        <w:rPr>
          <w:sz w:val="24"/>
          <w:szCs w:val="24"/>
        </w:rPr>
        <w:t>Běžné prohlídky mostů na úseku dálnice D1</w:t>
      </w:r>
      <w:r w:rsidR="004C6006">
        <w:rPr>
          <w:sz w:val="24"/>
          <w:szCs w:val="24"/>
        </w:rPr>
        <w:t>ve správě SSÚD 4 Domašov</w:t>
      </w:r>
    </w:p>
    <w:p w:rsidR="00FE28A7" w:rsidRPr="004C6006" w:rsidRDefault="00FE28A7" w:rsidP="00FE28A7">
      <w:pPr>
        <w:spacing w:after="60" w:line="276" w:lineRule="auto"/>
        <w:jc w:val="both"/>
        <w:rPr>
          <w:sz w:val="24"/>
          <w:szCs w:val="24"/>
        </w:rPr>
      </w:pPr>
      <w:r w:rsidRPr="004C6006">
        <w:rPr>
          <w:snapToGrid w:val="0"/>
          <w:sz w:val="24"/>
          <w:szCs w:val="24"/>
        </w:rPr>
        <w:t xml:space="preserve">Místo plnění: </w:t>
      </w:r>
      <w:r w:rsidRPr="004C6006">
        <w:rPr>
          <w:sz w:val="24"/>
          <w:szCs w:val="24"/>
        </w:rPr>
        <w:t xml:space="preserve">D1 v km </w:t>
      </w:r>
      <w:r w:rsidR="004C6006">
        <w:rPr>
          <w:sz w:val="24"/>
          <w:szCs w:val="24"/>
        </w:rPr>
        <w:t>141,500 – 188,740</w:t>
      </w:r>
    </w:p>
    <w:p w:rsidR="00FE28A7" w:rsidRPr="004C6006" w:rsidRDefault="00FE28A7" w:rsidP="00FE28A7">
      <w:pPr>
        <w:spacing w:after="60" w:line="276" w:lineRule="auto"/>
        <w:jc w:val="both"/>
        <w:rPr>
          <w:snapToGrid w:val="0"/>
          <w:color w:val="000000" w:themeColor="text1"/>
          <w:sz w:val="24"/>
          <w:szCs w:val="24"/>
        </w:rPr>
      </w:pPr>
      <w:r w:rsidRPr="004C6006">
        <w:rPr>
          <w:snapToGrid w:val="0"/>
          <w:color w:val="000000" w:themeColor="text1"/>
          <w:sz w:val="24"/>
          <w:szCs w:val="24"/>
        </w:rPr>
        <w:t xml:space="preserve">Doba plnění: </w:t>
      </w:r>
      <w:r w:rsidR="001C1DE7" w:rsidRPr="004C6006">
        <w:rPr>
          <w:color w:val="000000" w:themeColor="text1"/>
          <w:sz w:val="24"/>
          <w:szCs w:val="24"/>
        </w:rPr>
        <w:t xml:space="preserve">do 30. 11. 2021 </w:t>
      </w:r>
      <w:r w:rsidR="004C6006" w:rsidRPr="004C6006">
        <w:rPr>
          <w:sz w:val="24"/>
          <w:szCs w:val="24"/>
        </w:rPr>
        <w:t>projednání a zavedení do systému BMS</w:t>
      </w:r>
      <w:r w:rsidR="004C6006">
        <w:rPr>
          <w:sz w:val="24"/>
          <w:szCs w:val="24"/>
        </w:rPr>
        <w:t>.</w:t>
      </w:r>
    </w:p>
    <w:p w:rsidR="00FE28A7" w:rsidRPr="004C6006" w:rsidRDefault="00FE28A7" w:rsidP="00FE28A7">
      <w:pPr>
        <w:spacing w:after="60" w:line="276" w:lineRule="auto"/>
        <w:jc w:val="both"/>
        <w:rPr>
          <w:snapToGrid w:val="0"/>
          <w:sz w:val="24"/>
          <w:szCs w:val="24"/>
        </w:rPr>
      </w:pPr>
      <w:r w:rsidRPr="004C6006">
        <w:rPr>
          <w:snapToGrid w:val="0"/>
          <w:color w:val="000000" w:themeColor="text1"/>
          <w:sz w:val="24"/>
          <w:szCs w:val="24"/>
        </w:rPr>
        <w:t xml:space="preserve">Bližší podmínky plnění jsou obsaženy v závazném </w:t>
      </w:r>
      <w:r w:rsidRPr="004C6006">
        <w:rPr>
          <w:snapToGrid w:val="0"/>
          <w:sz w:val="24"/>
          <w:szCs w:val="24"/>
        </w:rPr>
        <w:t xml:space="preserve">vzoru Smlouvy na plnění veřejné zakázky a jeho přílohách, mj. rozpisu služeb, které tvoří přílohu Smlouvy. </w:t>
      </w:r>
    </w:p>
    <w:p w:rsidR="00FE28A7" w:rsidRPr="004C6006" w:rsidRDefault="00FE28A7" w:rsidP="00FE28A7">
      <w:pPr>
        <w:spacing w:after="60" w:line="276" w:lineRule="auto"/>
        <w:jc w:val="both"/>
        <w:rPr>
          <w:snapToGrid w:val="0"/>
          <w:sz w:val="24"/>
          <w:szCs w:val="24"/>
        </w:rPr>
      </w:pPr>
      <w:r w:rsidRPr="004C6006">
        <w:rPr>
          <w:sz w:val="24"/>
          <w:szCs w:val="24"/>
        </w:rPr>
        <w:t xml:space="preserve">Předpokládaná hodnota veřejné zakázky činí </w:t>
      </w:r>
      <w:r w:rsidR="005E7DE3">
        <w:rPr>
          <w:sz w:val="24"/>
          <w:szCs w:val="24"/>
        </w:rPr>
        <w:t>263 300</w:t>
      </w:r>
      <w:r w:rsidRPr="004C6006">
        <w:rPr>
          <w:sz w:val="24"/>
          <w:szCs w:val="24"/>
        </w:rPr>
        <w:t xml:space="preserve"> Kč bez DPH.</w:t>
      </w:r>
    </w:p>
    <w:p w:rsidR="00FE28A7" w:rsidRPr="004C6006" w:rsidRDefault="00FE28A7" w:rsidP="00FE28A7">
      <w:pPr>
        <w:spacing w:after="60" w:line="276" w:lineRule="auto"/>
        <w:jc w:val="both"/>
        <w:rPr>
          <w:snapToGrid w:val="0"/>
          <w:sz w:val="24"/>
          <w:szCs w:val="24"/>
        </w:rPr>
      </w:pPr>
    </w:p>
    <w:p w:rsidR="00FE28A7" w:rsidRPr="004C6006" w:rsidRDefault="00FE28A7" w:rsidP="00FE28A7">
      <w:pPr>
        <w:spacing w:after="60" w:line="276" w:lineRule="auto"/>
        <w:jc w:val="both"/>
        <w:rPr>
          <w:snapToGrid w:val="0"/>
          <w:sz w:val="24"/>
          <w:szCs w:val="24"/>
        </w:rPr>
      </w:pPr>
    </w:p>
    <w:p w:rsidR="00FE28A7" w:rsidRPr="004C6006" w:rsidRDefault="00FE28A7" w:rsidP="00FE28A7">
      <w:pPr>
        <w:pStyle w:val="Odstavecseseznamem"/>
        <w:numPr>
          <w:ilvl w:val="0"/>
          <w:numId w:val="1"/>
        </w:numPr>
        <w:spacing w:after="60" w:line="276" w:lineRule="auto"/>
        <w:ind w:left="284" w:hanging="284"/>
        <w:jc w:val="both"/>
        <w:rPr>
          <w:b/>
          <w:snapToGrid w:val="0"/>
          <w:sz w:val="24"/>
          <w:szCs w:val="24"/>
        </w:rPr>
      </w:pPr>
      <w:r w:rsidRPr="004C6006">
        <w:rPr>
          <w:b/>
          <w:snapToGrid w:val="0"/>
          <w:sz w:val="24"/>
          <w:szCs w:val="24"/>
        </w:rPr>
        <w:t>Obsah nabídky, způsob podání nabídky</w:t>
      </w:r>
    </w:p>
    <w:p w:rsidR="00FE28A7" w:rsidRPr="004C6006" w:rsidRDefault="00FE28A7" w:rsidP="00FE28A7">
      <w:pPr>
        <w:pStyle w:val="Odstavecseseznamem"/>
        <w:spacing w:after="60" w:line="276" w:lineRule="auto"/>
        <w:ind w:left="284"/>
        <w:jc w:val="both"/>
        <w:rPr>
          <w:b/>
          <w:snapToGrid w:val="0"/>
          <w:sz w:val="24"/>
          <w:szCs w:val="24"/>
        </w:rPr>
      </w:pP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rPr>
          <w:snapToGrid w:val="0"/>
          <w:sz w:val="24"/>
          <w:szCs w:val="24"/>
        </w:rPr>
      </w:pPr>
      <w:r w:rsidRPr="004C6006">
        <w:rPr>
          <w:sz w:val="24"/>
          <w:szCs w:val="24"/>
        </w:rPr>
        <w:t xml:space="preserve">Nabídka zhotovitele musí obsahovat </w:t>
      </w:r>
      <w:r w:rsidRPr="004C6006">
        <w:rPr>
          <w:snapToGrid w:val="0"/>
          <w:sz w:val="24"/>
          <w:szCs w:val="24"/>
        </w:rPr>
        <w:t>návrh Smlouvy na plnění veřejné zakázky, včetně všech příloh.</w:t>
      </w: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jc w:val="both"/>
        <w:rPr>
          <w:snapToGrid w:val="0"/>
          <w:sz w:val="24"/>
          <w:szCs w:val="24"/>
        </w:rPr>
      </w:pPr>
      <w:r w:rsidRPr="004C6006">
        <w:rPr>
          <w:snapToGrid w:val="0"/>
          <w:sz w:val="24"/>
          <w:szCs w:val="24"/>
        </w:rPr>
        <w:t xml:space="preserve">Zhotovitel je povinen ve své nabídce předložit návrh Smlouvy na plnění veřejné zakázky, </w:t>
      </w:r>
      <w:r w:rsidRPr="004C6006">
        <w:rPr>
          <w:snapToGrid w:val="0"/>
          <w:sz w:val="24"/>
          <w:szCs w:val="24"/>
          <w:u w:val="single"/>
        </w:rPr>
        <w:t>včetně všech příloh (tj. včetně mj. řádně vyplněného soupisu prací),</w:t>
      </w:r>
      <w:r w:rsidRPr="004C6006">
        <w:rPr>
          <w:snapToGrid w:val="0"/>
          <w:sz w:val="24"/>
          <w:szCs w:val="24"/>
        </w:rPr>
        <w:t xml:space="preserve"> který bude odpovídat závaznému vzoru, který tvoří přílohu této výzvy. Zhotovitel je oprávněn doplnit do vzoru Smlouvy na plnění veřejné zakázky pouze údaje, které jsou ve vzoru označeny symbolem </w:t>
      </w:r>
      <w:r w:rsidRPr="004C6006">
        <w:rPr>
          <w:snapToGrid w:val="0"/>
          <w:sz w:val="24"/>
          <w:szCs w:val="24"/>
          <w:highlight w:val="cyan"/>
        </w:rPr>
        <w:t>[•]</w:t>
      </w:r>
      <w:r w:rsidRPr="004C6006">
        <w:rPr>
          <w:snapToGrid w:val="0"/>
          <w:sz w:val="24"/>
          <w:szCs w:val="24"/>
        </w:rPr>
        <w:t xml:space="preserve"> jako nedoplněné. Pokud nabídku podává více osob společně (sdružení), příslušným způsobem tuto skutečnost zohlední v úvodu (identifikace smluvních stran) návrhu Smlouvy. Jednotlivé přílohy návrhu Smlouvy na plnění veřejné zakázky je zhotovitel povinen zpracovat v členění, které je stanoveno ve vzoru, přičemž tyto přílohy musí plně respektovat veškeré podmínky této výzvy.</w:t>
      </w: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jc w:val="both"/>
        <w:rPr>
          <w:snapToGrid w:val="0"/>
          <w:sz w:val="24"/>
          <w:szCs w:val="24"/>
        </w:rPr>
      </w:pPr>
      <w:r w:rsidRPr="004C6006">
        <w:rPr>
          <w:snapToGrid w:val="0"/>
          <w:sz w:val="24"/>
          <w:szCs w:val="24"/>
        </w:rPr>
        <w:t xml:space="preserve">Zadavatel požaduje podání nabídky v elektronické podobě. Listinné podání nabídky zadavatel nepřipouští. </w:t>
      </w: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jc w:val="both"/>
        <w:rPr>
          <w:snapToGrid w:val="0"/>
          <w:sz w:val="24"/>
          <w:szCs w:val="24"/>
        </w:rPr>
      </w:pPr>
      <w:r w:rsidRPr="004C6006">
        <w:rPr>
          <w:snapToGrid w:val="0"/>
          <w:sz w:val="24"/>
          <w:szCs w:val="24"/>
        </w:rPr>
        <w:t xml:space="preserve">Pro podání nabídky v elektronické podobě bude použit certifikovaný elektronický nástroj </w:t>
      </w:r>
      <w:proofErr w:type="spellStart"/>
      <w:r w:rsidRPr="004C6006">
        <w:rPr>
          <w:snapToGrid w:val="0"/>
          <w:sz w:val="24"/>
          <w:szCs w:val="24"/>
        </w:rPr>
        <w:t>eGORDION</w:t>
      </w:r>
      <w:proofErr w:type="spellEnd"/>
      <w:r w:rsidRPr="004C6006">
        <w:rPr>
          <w:snapToGrid w:val="0"/>
          <w:sz w:val="24"/>
          <w:szCs w:val="24"/>
        </w:rPr>
        <w:t xml:space="preserve"> - Tender </w:t>
      </w:r>
      <w:proofErr w:type="spellStart"/>
      <w:r w:rsidRPr="004C6006">
        <w:rPr>
          <w:snapToGrid w:val="0"/>
          <w:sz w:val="24"/>
          <w:szCs w:val="24"/>
        </w:rPr>
        <w:t>arena</w:t>
      </w:r>
      <w:proofErr w:type="spellEnd"/>
      <w:r w:rsidRPr="004C6006">
        <w:rPr>
          <w:snapToGrid w:val="0"/>
          <w:sz w:val="24"/>
          <w:szCs w:val="24"/>
        </w:rPr>
        <w:t xml:space="preserve"> (dále jen „Tender </w:t>
      </w:r>
      <w:proofErr w:type="spellStart"/>
      <w:r w:rsidRPr="004C6006">
        <w:rPr>
          <w:snapToGrid w:val="0"/>
          <w:sz w:val="24"/>
          <w:szCs w:val="24"/>
        </w:rPr>
        <w:t>arena</w:t>
      </w:r>
      <w:proofErr w:type="spellEnd"/>
      <w:r w:rsidRPr="004C6006">
        <w:rPr>
          <w:snapToGrid w:val="0"/>
          <w:sz w:val="24"/>
          <w:szCs w:val="24"/>
        </w:rPr>
        <w:t>“) dostupný na internetové adrese www.tenderarena.cz, kde je rovněž uveřejněn podrobný návod na jeho použití (odkaz „nápověda“ v zápatí) a kontakty na uživatelskou podporu.</w:t>
      </w: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jc w:val="both"/>
        <w:rPr>
          <w:snapToGrid w:val="0"/>
          <w:sz w:val="24"/>
          <w:szCs w:val="24"/>
        </w:rPr>
      </w:pPr>
      <w:r w:rsidRPr="004C6006">
        <w:rPr>
          <w:snapToGrid w:val="0"/>
          <w:sz w:val="24"/>
          <w:szCs w:val="24"/>
        </w:rPr>
        <w:t xml:space="preserve">Zadavatel </w:t>
      </w:r>
      <w:r w:rsidRPr="004C6006">
        <w:rPr>
          <w:b/>
          <w:snapToGrid w:val="0"/>
          <w:sz w:val="24"/>
          <w:szCs w:val="24"/>
        </w:rPr>
        <w:t>nepožaduje</w:t>
      </w:r>
      <w:r w:rsidRPr="004C6006">
        <w:rPr>
          <w:snapToGrid w:val="0"/>
          <w:sz w:val="24"/>
          <w:szCs w:val="24"/>
        </w:rPr>
        <w:t>, aby nabídka zhotovitele jako celek (ani jednotlivé dokumenty obsažené v nabídce zhotovitele) byla zhotovitelem podepsána prostřednictvím uznávaného elektronického podpisu dle zákona č. 297/2016 Sb., o službách vytvářejících důvěru pro elektronické transakce, ve znění pozdějších předpisů.</w:t>
      </w: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jc w:val="both"/>
        <w:rPr>
          <w:rFonts w:eastAsiaTheme="minorEastAsia"/>
          <w:sz w:val="24"/>
          <w:szCs w:val="24"/>
        </w:rPr>
      </w:pPr>
      <w:r w:rsidRPr="004C6006">
        <w:rPr>
          <w:rFonts w:eastAsiaTheme="minorEastAsia"/>
          <w:sz w:val="24"/>
          <w:szCs w:val="24"/>
        </w:rPr>
        <w:t>Nabídka v elektronické podobě nesmí přesáhnout velikost 200 MB, z čehož maximálně 100 MB budou tvořit dokumenty k prokázání kvalifikace a maximálně 100 MB ostatní dokumenty nabídky. Nabídka musí být zpracována prostřednictvím akceptovatelných formátů souborů, tj. doc/</w:t>
      </w:r>
      <w:proofErr w:type="spellStart"/>
      <w:r w:rsidRPr="004C6006">
        <w:rPr>
          <w:rFonts w:eastAsiaTheme="minorEastAsia"/>
          <w:sz w:val="24"/>
          <w:szCs w:val="24"/>
        </w:rPr>
        <w:t>docx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xls</w:t>
      </w:r>
      <w:proofErr w:type="spellEnd"/>
      <w:r w:rsidRPr="004C6006">
        <w:rPr>
          <w:rFonts w:eastAsiaTheme="minorEastAsia"/>
          <w:sz w:val="24"/>
          <w:szCs w:val="24"/>
        </w:rPr>
        <w:t>/</w:t>
      </w:r>
      <w:proofErr w:type="spellStart"/>
      <w:r w:rsidRPr="004C6006">
        <w:rPr>
          <w:rFonts w:eastAsiaTheme="minorEastAsia"/>
          <w:sz w:val="24"/>
          <w:szCs w:val="24"/>
        </w:rPr>
        <w:t>xlsx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pdf</w:t>
      </w:r>
      <w:proofErr w:type="spellEnd"/>
      <w:r w:rsidRPr="004C6006">
        <w:rPr>
          <w:rFonts w:eastAsiaTheme="minorEastAsia"/>
          <w:sz w:val="24"/>
          <w:szCs w:val="24"/>
        </w:rPr>
        <w:t xml:space="preserve">, PDF/A, </w:t>
      </w:r>
      <w:proofErr w:type="spellStart"/>
      <w:r w:rsidRPr="004C6006">
        <w:rPr>
          <w:rFonts w:eastAsiaTheme="minorEastAsia"/>
          <w:sz w:val="24"/>
          <w:szCs w:val="24"/>
        </w:rPr>
        <w:t>xml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fo</w:t>
      </w:r>
      <w:proofErr w:type="spellEnd"/>
      <w:r w:rsidRPr="004C6006">
        <w:rPr>
          <w:rFonts w:eastAsiaTheme="minorEastAsia"/>
          <w:sz w:val="24"/>
          <w:szCs w:val="24"/>
        </w:rPr>
        <w:t>/</w:t>
      </w:r>
      <w:proofErr w:type="spellStart"/>
      <w:r w:rsidRPr="004C6006">
        <w:rPr>
          <w:rFonts w:eastAsiaTheme="minorEastAsia"/>
          <w:sz w:val="24"/>
          <w:szCs w:val="24"/>
        </w:rPr>
        <w:t>zfo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html</w:t>
      </w:r>
      <w:proofErr w:type="spellEnd"/>
      <w:r w:rsidRPr="004C6006">
        <w:rPr>
          <w:rFonts w:eastAsiaTheme="minorEastAsia"/>
          <w:sz w:val="24"/>
          <w:szCs w:val="24"/>
        </w:rPr>
        <w:t>/</w:t>
      </w:r>
      <w:proofErr w:type="spellStart"/>
      <w:r w:rsidRPr="004C6006">
        <w:rPr>
          <w:rFonts w:eastAsiaTheme="minorEastAsia"/>
          <w:sz w:val="24"/>
          <w:szCs w:val="24"/>
        </w:rPr>
        <w:t>htm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odt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ods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odp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txt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rtf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ppt</w:t>
      </w:r>
      <w:proofErr w:type="spellEnd"/>
      <w:r w:rsidRPr="004C6006">
        <w:rPr>
          <w:rFonts w:eastAsiaTheme="minorEastAsia"/>
          <w:sz w:val="24"/>
          <w:szCs w:val="24"/>
        </w:rPr>
        <w:t>/</w:t>
      </w:r>
      <w:proofErr w:type="spellStart"/>
      <w:r w:rsidRPr="004C6006">
        <w:rPr>
          <w:rFonts w:eastAsiaTheme="minorEastAsia"/>
          <w:sz w:val="24"/>
          <w:szCs w:val="24"/>
        </w:rPr>
        <w:t>pptx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jpg</w:t>
      </w:r>
      <w:proofErr w:type="spellEnd"/>
      <w:r w:rsidRPr="004C6006">
        <w:rPr>
          <w:rFonts w:eastAsiaTheme="minorEastAsia"/>
          <w:sz w:val="24"/>
          <w:szCs w:val="24"/>
        </w:rPr>
        <w:t>/</w:t>
      </w:r>
      <w:proofErr w:type="spellStart"/>
      <w:r w:rsidRPr="004C6006">
        <w:rPr>
          <w:rFonts w:eastAsiaTheme="minorEastAsia"/>
          <w:sz w:val="24"/>
          <w:szCs w:val="24"/>
        </w:rPr>
        <w:t>jpeg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png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tif</w:t>
      </w:r>
      <w:proofErr w:type="spellEnd"/>
      <w:r w:rsidRPr="004C6006">
        <w:rPr>
          <w:rFonts w:eastAsiaTheme="minorEastAsia"/>
          <w:sz w:val="24"/>
          <w:szCs w:val="24"/>
        </w:rPr>
        <w:t>/</w:t>
      </w:r>
      <w:proofErr w:type="spellStart"/>
      <w:r w:rsidRPr="004C6006">
        <w:rPr>
          <w:rFonts w:eastAsiaTheme="minorEastAsia"/>
          <w:sz w:val="24"/>
          <w:szCs w:val="24"/>
        </w:rPr>
        <w:t>tiff</w:t>
      </w:r>
      <w:proofErr w:type="spellEnd"/>
      <w:r w:rsidRPr="004C6006">
        <w:rPr>
          <w:rFonts w:eastAsiaTheme="minorEastAsia"/>
          <w:sz w:val="24"/>
          <w:szCs w:val="24"/>
        </w:rPr>
        <w:t xml:space="preserve">, </w:t>
      </w:r>
      <w:proofErr w:type="spellStart"/>
      <w:r w:rsidRPr="004C6006">
        <w:rPr>
          <w:rFonts w:eastAsiaTheme="minorEastAsia"/>
          <w:sz w:val="24"/>
          <w:szCs w:val="24"/>
        </w:rPr>
        <w:t>gif</w:t>
      </w:r>
      <w:proofErr w:type="spellEnd"/>
      <w:r w:rsidRPr="004C6006">
        <w:rPr>
          <w:rFonts w:eastAsiaTheme="minorEastAsia"/>
          <w:sz w:val="24"/>
          <w:szCs w:val="24"/>
        </w:rPr>
        <w:t xml:space="preserve">, XC4. Dokumenty mohou být rovněž v komprimovaném archivu ve formátu zip, </w:t>
      </w:r>
      <w:proofErr w:type="spellStart"/>
      <w:r w:rsidRPr="004C6006">
        <w:rPr>
          <w:rFonts w:eastAsiaTheme="minorEastAsia"/>
          <w:sz w:val="24"/>
          <w:szCs w:val="24"/>
        </w:rPr>
        <w:t>rar</w:t>
      </w:r>
      <w:proofErr w:type="spellEnd"/>
      <w:r w:rsidRPr="004C6006">
        <w:rPr>
          <w:rFonts w:eastAsiaTheme="minorEastAsia"/>
          <w:sz w:val="24"/>
          <w:szCs w:val="24"/>
        </w:rPr>
        <w:t>, 7z. Oceněný soupis prací – výkaz výměr bude zhotovitelem předložen v  datových formátech shodných s formáty, ve kterých byl poskytnut soupis prací - výkaz výměr jako součást této výzvy.</w:t>
      </w:r>
    </w:p>
    <w:p w:rsidR="00FE28A7" w:rsidRPr="004C6006" w:rsidRDefault="00FE28A7" w:rsidP="00FE28A7">
      <w:pPr>
        <w:pStyle w:val="Odstavecseseznamem"/>
        <w:numPr>
          <w:ilvl w:val="0"/>
          <w:numId w:val="2"/>
        </w:numPr>
        <w:spacing w:after="60" w:line="276" w:lineRule="auto"/>
        <w:ind w:left="426"/>
        <w:jc w:val="both"/>
        <w:rPr>
          <w:snapToGrid w:val="0"/>
          <w:sz w:val="24"/>
          <w:szCs w:val="24"/>
        </w:rPr>
      </w:pPr>
      <w:r w:rsidRPr="004C6006">
        <w:rPr>
          <w:snapToGrid w:val="0"/>
          <w:sz w:val="24"/>
          <w:szCs w:val="24"/>
        </w:rPr>
        <w:t>V případě, že bude nabídka zhotovitele obsahovat osobní údaje třetích osob, je za dodržení Nařízení Evropského parlamentu a Rady (EU) 2016/679 ze dne 27. dubna 2016 o ochraně fyzických osob v souvislosti se zpracováním osobních údajů a volném pohybu těchto údajů a o zrušení směrnice 95/46/ES - obecné nařízení o ochraně osobních údajů odpovědný zhotovitel, neboť jako první tyto údaje ve své nabídce zpracovává.</w:t>
      </w:r>
    </w:p>
    <w:p w:rsidR="00FE28A7" w:rsidRPr="004C6006" w:rsidRDefault="00FE28A7" w:rsidP="00FE28A7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b/>
          <w:snapToGrid w:val="0"/>
          <w:sz w:val="24"/>
          <w:szCs w:val="24"/>
        </w:rPr>
      </w:pPr>
      <w:r w:rsidRPr="004C6006">
        <w:rPr>
          <w:b/>
          <w:snapToGrid w:val="0"/>
          <w:sz w:val="24"/>
          <w:szCs w:val="24"/>
        </w:rPr>
        <w:t>Lhůta a místo pro podání nabídek, otevírání nabídek</w:t>
      </w:r>
    </w:p>
    <w:p w:rsidR="00FE28A7" w:rsidRPr="004C6006" w:rsidRDefault="00FE28A7" w:rsidP="00FE28A7">
      <w:pPr>
        <w:spacing w:after="60" w:line="276" w:lineRule="auto"/>
        <w:jc w:val="both"/>
        <w:rPr>
          <w:sz w:val="24"/>
          <w:szCs w:val="24"/>
        </w:rPr>
      </w:pPr>
      <w:r w:rsidRPr="004C6006">
        <w:rPr>
          <w:sz w:val="24"/>
          <w:szCs w:val="24"/>
        </w:rPr>
        <w:t>Lhůta pro podání nabídek:</w:t>
      </w:r>
      <w:r w:rsidRPr="004C6006">
        <w:rPr>
          <w:b/>
          <w:sz w:val="24"/>
          <w:szCs w:val="24"/>
        </w:rPr>
        <w:tab/>
      </w:r>
      <w:r w:rsidR="00475AE4" w:rsidRPr="004C6006">
        <w:rPr>
          <w:b/>
          <w:sz w:val="24"/>
          <w:szCs w:val="24"/>
        </w:rPr>
        <w:t xml:space="preserve"> </w:t>
      </w:r>
      <w:r w:rsidR="008A2BB1">
        <w:rPr>
          <w:b/>
          <w:sz w:val="24"/>
          <w:szCs w:val="24"/>
        </w:rPr>
        <w:t>16. 8. 2021</w:t>
      </w:r>
      <w:r w:rsidR="002E0ADC">
        <w:rPr>
          <w:b/>
          <w:sz w:val="24"/>
          <w:szCs w:val="24"/>
        </w:rPr>
        <w:t xml:space="preserve"> do 08:00 hodin, viz Tender are</w:t>
      </w:r>
      <w:bookmarkStart w:id="0" w:name="_GoBack"/>
      <w:bookmarkEnd w:id="0"/>
      <w:r w:rsidR="002E0ADC">
        <w:rPr>
          <w:b/>
          <w:sz w:val="24"/>
          <w:szCs w:val="24"/>
        </w:rPr>
        <w:t>na</w:t>
      </w:r>
    </w:p>
    <w:p w:rsidR="00FE28A7" w:rsidRPr="004C6006" w:rsidRDefault="00FE28A7" w:rsidP="00FE28A7">
      <w:pPr>
        <w:spacing w:after="60" w:line="276" w:lineRule="auto"/>
        <w:jc w:val="both"/>
        <w:rPr>
          <w:b/>
          <w:bCs/>
          <w:sz w:val="24"/>
          <w:szCs w:val="24"/>
        </w:rPr>
      </w:pPr>
      <w:r w:rsidRPr="004C6006">
        <w:rPr>
          <w:bCs/>
          <w:sz w:val="24"/>
          <w:szCs w:val="24"/>
        </w:rPr>
        <w:t>Nabídky budou podány</w:t>
      </w:r>
      <w:r w:rsidRPr="004C6006">
        <w:rPr>
          <w:b/>
          <w:bCs/>
          <w:sz w:val="24"/>
          <w:szCs w:val="24"/>
        </w:rPr>
        <w:t xml:space="preserve"> prostřednictvím elektronického nástroje Tender </w:t>
      </w:r>
      <w:proofErr w:type="spellStart"/>
      <w:r w:rsidRPr="004C6006">
        <w:rPr>
          <w:b/>
          <w:bCs/>
          <w:sz w:val="24"/>
          <w:szCs w:val="24"/>
        </w:rPr>
        <w:t>arena</w:t>
      </w:r>
      <w:proofErr w:type="spellEnd"/>
      <w:r w:rsidRPr="004C6006">
        <w:rPr>
          <w:b/>
          <w:bCs/>
          <w:sz w:val="24"/>
          <w:szCs w:val="24"/>
        </w:rPr>
        <w:t>.</w:t>
      </w:r>
    </w:p>
    <w:p w:rsidR="00FE28A7" w:rsidRPr="004C6006" w:rsidRDefault="00FE28A7" w:rsidP="00FE28A7">
      <w:pPr>
        <w:spacing w:after="60" w:line="276" w:lineRule="auto"/>
        <w:jc w:val="both"/>
        <w:rPr>
          <w:sz w:val="24"/>
          <w:szCs w:val="24"/>
        </w:rPr>
      </w:pPr>
      <w:r w:rsidRPr="004C6006">
        <w:rPr>
          <w:sz w:val="24"/>
          <w:szCs w:val="24"/>
        </w:rPr>
        <w:t>Veškeré informace nutné pro podání nabídky v elektronické podobě jsou uvedeny v této výzvě.</w:t>
      </w:r>
    </w:p>
    <w:p w:rsidR="00FE28A7" w:rsidRPr="004C6006" w:rsidRDefault="00FE28A7" w:rsidP="00FE28A7">
      <w:pPr>
        <w:spacing w:after="60" w:line="276" w:lineRule="auto"/>
        <w:jc w:val="both"/>
        <w:rPr>
          <w:bCs/>
          <w:sz w:val="24"/>
          <w:szCs w:val="24"/>
        </w:rPr>
      </w:pPr>
      <w:r w:rsidRPr="004C6006">
        <w:rPr>
          <w:iCs/>
          <w:sz w:val="24"/>
          <w:szCs w:val="24"/>
        </w:rPr>
        <w:lastRenderedPageBreak/>
        <w:t xml:space="preserve">Při podávání nabídky ze strany zhotovitele bude elektronickým nástrojem Tender </w:t>
      </w:r>
      <w:proofErr w:type="spellStart"/>
      <w:r w:rsidRPr="004C6006">
        <w:rPr>
          <w:iCs/>
          <w:sz w:val="24"/>
          <w:szCs w:val="24"/>
        </w:rPr>
        <w:t>arena</w:t>
      </w:r>
      <w:proofErr w:type="spellEnd"/>
      <w:r w:rsidRPr="004C6006">
        <w:rPr>
          <w:iCs/>
          <w:sz w:val="24"/>
          <w:szCs w:val="24"/>
        </w:rPr>
        <w:t xml:space="preserve"> automaticky použit veřejný klíč k zašifrování nabídky</w:t>
      </w:r>
      <w:r w:rsidRPr="004C6006">
        <w:rPr>
          <w:sz w:val="24"/>
          <w:szCs w:val="24"/>
        </w:rPr>
        <w:t>.</w:t>
      </w:r>
    </w:p>
    <w:p w:rsidR="00FE28A7" w:rsidRPr="004C6006" w:rsidRDefault="00FE28A7" w:rsidP="00FE28A7">
      <w:pPr>
        <w:spacing w:after="60" w:line="276" w:lineRule="auto"/>
        <w:jc w:val="both"/>
        <w:rPr>
          <w:rFonts w:eastAsiaTheme="minorEastAsia"/>
          <w:sz w:val="24"/>
          <w:szCs w:val="24"/>
        </w:rPr>
      </w:pPr>
      <w:bookmarkStart w:id="1" w:name="_Toc459112193"/>
      <w:bookmarkStart w:id="2" w:name="_Toc459294079"/>
      <w:r w:rsidRPr="004C6006">
        <w:rPr>
          <w:b/>
          <w:sz w:val="24"/>
          <w:szCs w:val="24"/>
        </w:rPr>
        <w:t>Otevírání</w:t>
      </w:r>
      <w:r w:rsidRPr="004C6006">
        <w:rPr>
          <w:rFonts w:eastAsiaTheme="minorEastAsia"/>
          <w:b/>
          <w:sz w:val="24"/>
          <w:szCs w:val="24"/>
        </w:rPr>
        <w:t xml:space="preserve"> nabídek</w:t>
      </w:r>
      <w:r w:rsidRPr="004C6006">
        <w:rPr>
          <w:rFonts w:eastAsiaTheme="minorEastAsia"/>
          <w:sz w:val="24"/>
          <w:szCs w:val="24"/>
        </w:rPr>
        <w:t xml:space="preserve"> je z důvodu umožnění příjmu nabídek pouze v elektronické podobě neveřejné. Otevírání nabídek proběhne v souladu s § 109 ZZVZ. </w:t>
      </w:r>
      <w:bookmarkEnd w:id="1"/>
      <w:bookmarkEnd w:id="2"/>
    </w:p>
    <w:p w:rsidR="00FE28A7" w:rsidRPr="004C6006" w:rsidRDefault="00FE28A7" w:rsidP="00FE28A7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b/>
          <w:snapToGrid w:val="0"/>
          <w:sz w:val="24"/>
          <w:szCs w:val="24"/>
        </w:rPr>
      </w:pPr>
      <w:r w:rsidRPr="004C6006">
        <w:rPr>
          <w:b/>
          <w:snapToGrid w:val="0"/>
          <w:sz w:val="24"/>
          <w:szCs w:val="24"/>
        </w:rPr>
        <w:t>Údaje o hodnotících kritériích</w:t>
      </w:r>
    </w:p>
    <w:p w:rsidR="00FE28A7" w:rsidRPr="004C6006" w:rsidRDefault="00FE28A7" w:rsidP="00FE28A7">
      <w:pPr>
        <w:spacing w:after="60" w:line="276" w:lineRule="auto"/>
        <w:jc w:val="both"/>
        <w:rPr>
          <w:sz w:val="24"/>
          <w:szCs w:val="24"/>
        </w:rPr>
      </w:pPr>
      <w:r w:rsidRPr="004C6006">
        <w:rPr>
          <w:sz w:val="24"/>
          <w:szCs w:val="24"/>
        </w:rPr>
        <w:t>Základním hodnotícím kritériem pro zadání této veřejné zakázky je nejnižší nabídková cena. Předmětem hodnocení bude celková nabídková cena v Kč bez DPH uvedená v </w:t>
      </w:r>
      <w:r w:rsidRPr="004C6006">
        <w:rPr>
          <w:snapToGrid w:val="0"/>
          <w:sz w:val="24"/>
          <w:szCs w:val="24"/>
        </w:rPr>
        <w:t>návrhu Smlouvy na plnění veřejné zakázky</w:t>
      </w:r>
      <w:r w:rsidRPr="004C6006">
        <w:rPr>
          <w:sz w:val="24"/>
          <w:szCs w:val="24"/>
        </w:rPr>
        <w:t xml:space="preserve">. </w:t>
      </w:r>
    </w:p>
    <w:p w:rsidR="00FE28A7" w:rsidRPr="004C6006" w:rsidRDefault="00FE28A7" w:rsidP="00FE28A7">
      <w:pPr>
        <w:spacing w:after="60" w:line="276" w:lineRule="auto"/>
        <w:jc w:val="both"/>
        <w:rPr>
          <w:sz w:val="24"/>
          <w:szCs w:val="24"/>
        </w:rPr>
      </w:pPr>
      <w:r w:rsidRPr="004C6006">
        <w:rPr>
          <w:sz w:val="24"/>
          <w:szCs w:val="24"/>
        </w:rPr>
        <w:t xml:space="preserve">Při stanovení nabídkových cen </w:t>
      </w:r>
      <w:r w:rsidRPr="004C6006">
        <w:rPr>
          <w:snapToGrid w:val="0"/>
          <w:sz w:val="24"/>
          <w:szCs w:val="24"/>
        </w:rPr>
        <w:t xml:space="preserve">na plnění veřejné zakázky </w:t>
      </w:r>
      <w:r w:rsidRPr="004C6006">
        <w:rPr>
          <w:sz w:val="24"/>
          <w:szCs w:val="24"/>
        </w:rPr>
        <w:t>jsou zhotovitelé povinni respektovat příslušná ustanovení Rámcové dohody.</w:t>
      </w:r>
      <w:r w:rsidRPr="004C6006">
        <w:rPr>
          <w:sz w:val="24"/>
          <w:szCs w:val="24"/>
        </w:rPr>
        <w:tab/>
      </w:r>
    </w:p>
    <w:p w:rsidR="00FE28A7" w:rsidRPr="004C6006" w:rsidRDefault="00FE28A7" w:rsidP="00FE28A7">
      <w:pPr>
        <w:keepNext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/>
          <w:bCs/>
          <w:sz w:val="24"/>
          <w:szCs w:val="24"/>
        </w:rPr>
      </w:pPr>
      <w:r w:rsidRPr="004C6006">
        <w:rPr>
          <w:b/>
          <w:bCs/>
          <w:sz w:val="24"/>
          <w:szCs w:val="24"/>
        </w:rPr>
        <w:t>Jazyk nabídky, cizí měna</w:t>
      </w:r>
    </w:p>
    <w:p w:rsidR="00FE28A7" w:rsidRPr="004C6006" w:rsidRDefault="00FE28A7" w:rsidP="00FE28A7">
      <w:pPr>
        <w:pStyle w:val="Odstavecseseznamem"/>
        <w:numPr>
          <w:ilvl w:val="1"/>
          <w:numId w:val="3"/>
        </w:numPr>
        <w:spacing w:after="60" w:line="276" w:lineRule="auto"/>
        <w:ind w:left="426" w:hanging="426"/>
        <w:jc w:val="both"/>
        <w:outlineLvl w:val="1"/>
        <w:rPr>
          <w:rFonts w:eastAsiaTheme="minorEastAsia"/>
          <w:sz w:val="24"/>
          <w:szCs w:val="24"/>
        </w:rPr>
      </w:pPr>
      <w:bookmarkStart w:id="3" w:name="_Toc459112182"/>
      <w:bookmarkStart w:id="4" w:name="_Toc459294067"/>
      <w:bookmarkStart w:id="5" w:name="_Ref189405494"/>
      <w:bookmarkStart w:id="6" w:name="_Ref213601984"/>
      <w:r w:rsidRPr="004C6006">
        <w:rPr>
          <w:rFonts w:eastAsiaTheme="minorEastAsia"/>
          <w:sz w:val="24"/>
          <w:szCs w:val="24"/>
        </w:rPr>
        <w:t>Nabídka musí být zpracována ve všech částech v českém nebo slovenském jazyce (výjimku tvoří odborné názvy a údaje), pokud zadavatel nestanovil v této výzvě pro jednotlivé dokumenty jinak.</w:t>
      </w:r>
      <w:bookmarkEnd w:id="3"/>
      <w:bookmarkEnd w:id="4"/>
    </w:p>
    <w:p w:rsidR="00FE28A7" w:rsidRPr="004C6006" w:rsidRDefault="00FE28A7" w:rsidP="00FE28A7">
      <w:pPr>
        <w:pStyle w:val="Odstavecseseznamem"/>
        <w:numPr>
          <w:ilvl w:val="1"/>
          <w:numId w:val="3"/>
        </w:numPr>
        <w:spacing w:after="60" w:line="276" w:lineRule="auto"/>
        <w:ind w:left="426" w:hanging="426"/>
        <w:jc w:val="both"/>
        <w:outlineLvl w:val="1"/>
        <w:rPr>
          <w:rFonts w:eastAsiaTheme="minorEastAsia"/>
          <w:sz w:val="24"/>
          <w:szCs w:val="24"/>
        </w:rPr>
      </w:pPr>
      <w:bookmarkStart w:id="7" w:name="_Toc459294068"/>
      <w:bookmarkStart w:id="8" w:name="_Ref318887023"/>
      <w:bookmarkStart w:id="9" w:name="_Toc459112183"/>
      <w:r w:rsidRPr="004C6006">
        <w:rPr>
          <w:rFonts w:eastAsiaTheme="minorEastAsia"/>
          <w:sz w:val="24"/>
          <w:szCs w:val="24"/>
        </w:rPr>
        <w:t>Veškeré údaje o peněžních částkách v cizích měnách musí být přepočítány na koruny české, a to podle oficiálního kurzu vyhlášeného Českou národní bankou k prvnímu pracovnímu dni kalendářního měsíce, který předchází měsíci, v němž byla podána nabídka.</w:t>
      </w:r>
      <w:bookmarkEnd w:id="7"/>
      <w:bookmarkEnd w:id="8"/>
      <w:bookmarkEnd w:id="9"/>
    </w:p>
    <w:bookmarkEnd w:id="5"/>
    <w:bookmarkEnd w:id="6"/>
    <w:p w:rsidR="00FE28A7" w:rsidRPr="004C6006" w:rsidRDefault="00FE28A7" w:rsidP="00FE28A7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/>
          <w:bCs/>
          <w:sz w:val="24"/>
          <w:szCs w:val="24"/>
        </w:rPr>
      </w:pPr>
      <w:r w:rsidRPr="004C6006">
        <w:rPr>
          <w:b/>
          <w:bCs/>
          <w:sz w:val="24"/>
          <w:szCs w:val="24"/>
        </w:rPr>
        <w:t>Zrušení řízení na uzavření veřejné zakázky</w:t>
      </w:r>
    </w:p>
    <w:p w:rsidR="00FE28A7" w:rsidRPr="004C6006" w:rsidRDefault="00FE28A7" w:rsidP="00FE28A7">
      <w:pPr>
        <w:spacing w:after="60" w:line="276" w:lineRule="auto"/>
        <w:jc w:val="both"/>
        <w:rPr>
          <w:sz w:val="24"/>
          <w:szCs w:val="24"/>
        </w:rPr>
      </w:pPr>
      <w:r w:rsidRPr="004C6006">
        <w:rPr>
          <w:sz w:val="24"/>
          <w:szCs w:val="24"/>
        </w:rPr>
        <w:t xml:space="preserve">Zadavatel je oprávněn zrušit řízení na základě Rámcové dohody do doby uzavření </w:t>
      </w:r>
      <w:r w:rsidRPr="004C6006">
        <w:rPr>
          <w:snapToGrid w:val="0"/>
          <w:sz w:val="24"/>
          <w:szCs w:val="24"/>
        </w:rPr>
        <w:t>Smlouvy na plnění veřejné zakázky</w:t>
      </w:r>
      <w:r w:rsidRPr="004C6006">
        <w:rPr>
          <w:sz w:val="24"/>
          <w:szCs w:val="24"/>
        </w:rPr>
        <w:t>.</w:t>
      </w:r>
    </w:p>
    <w:p w:rsidR="00FE28A7" w:rsidRPr="004C6006" w:rsidRDefault="00FE28A7" w:rsidP="00FE28A7">
      <w:pPr>
        <w:pStyle w:val="Odstavecseseznamem"/>
        <w:numPr>
          <w:ilvl w:val="0"/>
          <w:numId w:val="1"/>
        </w:numPr>
        <w:spacing w:before="120" w:after="120" w:line="276" w:lineRule="auto"/>
        <w:ind w:left="426" w:hanging="426"/>
        <w:rPr>
          <w:b/>
          <w:bCs/>
          <w:iCs/>
          <w:sz w:val="24"/>
          <w:szCs w:val="24"/>
        </w:rPr>
      </w:pPr>
      <w:r w:rsidRPr="004C6006">
        <w:rPr>
          <w:b/>
          <w:bCs/>
          <w:iCs/>
          <w:sz w:val="24"/>
          <w:szCs w:val="24"/>
        </w:rPr>
        <w:t>Střet zájmů</w:t>
      </w:r>
    </w:p>
    <w:p w:rsidR="00FE28A7" w:rsidRPr="004C6006" w:rsidRDefault="00FE28A7" w:rsidP="00FE28A7">
      <w:pPr>
        <w:spacing w:after="60" w:line="276" w:lineRule="auto"/>
        <w:jc w:val="both"/>
        <w:rPr>
          <w:bCs/>
          <w:sz w:val="24"/>
          <w:szCs w:val="24"/>
        </w:rPr>
      </w:pPr>
      <w:r w:rsidRPr="004C6006">
        <w:rPr>
          <w:bCs/>
          <w:sz w:val="24"/>
          <w:szCs w:val="24"/>
        </w:rPr>
        <w:t>V případě, že je některý ze zhotovitelů ve střetu zájmů, není v rámci této veřejné zakázky oprávněn nabídku podat. Zadavatel zhotovitele upozorňuje, že v případě podání nabídky některým ze zhotovitelů, který je ve střetu zájmů, nebude tato nabídka hodnocena a z hodnocení nabídek bude vyřazena.</w:t>
      </w:r>
    </w:p>
    <w:p w:rsidR="00FE28A7" w:rsidRPr="004C6006" w:rsidRDefault="00FE28A7" w:rsidP="00FE28A7">
      <w:pPr>
        <w:spacing w:after="60" w:line="276" w:lineRule="auto"/>
        <w:jc w:val="both"/>
        <w:rPr>
          <w:bCs/>
          <w:sz w:val="24"/>
          <w:szCs w:val="24"/>
        </w:rPr>
      </w:pPr>
      <w:r w:rsidRPr="004C6006">
        <w:rPr>
          <w:bCs/>
          <w:sz w:val="24"/>
          <w:szCs w:val="24"/>
        </w:rPr>
        <w:t>Za střet zájmů se považuje:</w:t>
      </w:r>
    </w:p>
    <w:p w:rsidR="00FE28A7" w:rsidRPr="004C6006" w:rsidRDefault="00FE28A7" w:rsidP="00FE28A7">
      <w:pPr>
        <w:pStyle w:val="Odstavecseseznamem"/>
        <w:numPr>
          <w:ilvl w:val="0"/>
          <w:numId w:val="4"/>
        </w:numPr>
        <w:spacing w:after="60" w:line="276" w:lineRule="auto"/>
        <w:ind w:left="567" w:hanging="142"/>
        <w:jc w:val="both"/>
        <w:rPr>
          <w:bCs/>
          <w:sz w:val="24"/>
          <w:szCs w:val="24"/>
        </w:rPr>
      </w:pPr>
      <w:r w:rsidRPr="004C6006">
        <w:rPr>
          <w:bCs/>
          <w:sz w:val="24"/>
          <w:szCs w:val="24"/>
        </w:rPr>
        <w:t>vypracování zadávacích podmínek této veřejné zakázky</w:t>
      </w:r>
    </w:p>
    <w:p w:rsidR="00FE28A7" w:rsidRPr="004C6006" w:rsidRDefault="00FE28A7" w:rsidP="00FE28A7">
      <w:pPr>
        <w:pStyle w:val="Odstavecseseznamem"/>
        <w:numPr>
          <w:ilvl w:val="0"/>
          <w:numId w:val="4"/>
        </w:numPr>
        <w:ind w:left="709" w:hanging="284"/>
        <w:jc w:val="both"/>
        <w:rPr>
          <w:bCs/>
          <w:sz w:val="24"/>
          <w:szCs w:val="24"/>
        </w:rPr>
      </w:pPr>
      <w:r w:rsidRPr="004C6006">
        <w:rPr>
          <w:bCs/>
          <w:sz w:val="24"/>
          <w:szCs w:val="24"/>
        </w:rPr>
        <w:t>pokud jsou součástí veřejné zakázky První hlavní prohlídky mostů, nejsou a nebudou ve vztahu k žádnému z těchto mostů zhotovitelem části konstrukce mostu, zhotovitelem zkoušek, měření, průzkumů mostu, projektantem (RDS, VTD apod.) nebo stavebním dozorem mostu, nebo se jinak podílet na realizaci PD nebo konstrukce.</w:t>
      </w:r>
    </w:p>
    <w:p w:rsidR="00FE28A7" w:rsidRPr="004C6006" w:rsidRDefault="00FE28A7" w:rsidP="00FE28A7">
      <w:pPr>
        <w:pStyle w:val="Odstavecseseznamem"/>
        <w:spacing w:after="60" w:line="276" w:lineRule="auto"/>
        <w:ind w:left="426"/>
        <w:jc w:val="both"/>
        <w:rPr>
          <w:bCs/>
          <w:sz w:val="24"/>
          <w:szCs w:val="24"/>
        </w:rPr>
      </w:pPr>
    </w:p>
    <w:p w:rsidR="00FE28A7" w:rsidRPr="004C6006" w:rsidRDefault="00FE28A7" w:rsidP="00FE28A7">
      <w:pPr>
        <w:pStyle w:val="Odstavecseseznamem"/>
        <w:numPr>
          <w:ilvl w:val="0"/>
          <w:numId w:val="1"/>
        </w:numPr>
        <w:spacing w:before="120" w:after="120" w:line="276" w:lineRule="auto"/>
        <w:ind w:left="426" w:hanging="426"/>
        <w:rPr>
          <w:b/>
          <w:bCs/>
          <w:iCs/>
          <w:sz w:val="24"/>
          <w:szCs w:val="24"/>
        </w:rPr>
      </w:pPr>
      <w:bookmarkStart w:id="10" w:name="_Toc259791948"/>
      <w:bookmarkEnd w:id="10"/>
      <w:r w:rsidRPr="004C6006">
        <w:rPr>
          <w:b/>
          <w:bCs/>
          <w:iCs/>
          <w:sz w:val="24"/>
          <w:szCs w:val="24"/>
        </w:rPr>
        <w:t>Vyhrazená změna závazku</w:t>
      </w:r>
    </w:p>
    <w:p w:rsidR="00FE28A7" w:rsidRPr="004C6006" w:rsidRDefault="00FE28A7" w:rsidP="00FE28A7">
      <w:pPr>
        <w:spacing w:after="60" w:line="276" w:lineRule="auto"/>
        <w:jc w:val="both"/>
        <w:rPr>
          <w:bCs/>
          <w:sz w:val="24"/>
          <w:szCs w:val="24"/>
        </w:rPr>
      </w:pPr>
      <w:r w:rsidRPr="004C6006">
        <w:rPr>
          <w:snapToGrid w:val="0"/>
          <w:sz w:val="24"/>
          <w:szCs w:val="24"/>
        </w:rPr>
        <w:t>Nepoužije se</w:t>
      </w:r>
    </w:p>
    <w:p w:rsidR="00FE28A7" w:rsidRPr="004C6006" w:rsidRDefault="00FE28A7" w:rsidP="00FE28A7">
      <w:pPr>
        <w:pStyle w:val="Odstavecseseznamem"/>
        <w:spacing w:after="60" w:line="276" w:lineRule="auto"/>
        <w:ind w:left="426"/>
        <w:jc w:val="both"/>
        <w:rPr>
          <w:bCs/>
          <w:sz w:val="24"/>
          <w:szCs w:val="24"/>
        </w:rPr>
      </w:pPr>
    </w:p>
    <w:p w:rsidR="00FE28A7" w:rsidRPr="004C6006" w:rsidRDefault="00FE28A7" w:rsidP="00FE28A7">
      <w:pPr>
        <w:pStyle w:val="Odstavecseseznamem"/>
        <w:numPr>
          <w:ilvl w:val="0"/>
          <w:numId w:val="1"/>
        </w:numPr>
        <w:spacing w:before="120" w:after="120" w:line="276" w:lineRule="auto"/>
        <w:ind w:left="426" w:hanging="426"/>
        <w:rPr>
          <w:b/>
          <w:bCs/>
          <w:iCs/>
          <w:sz w:val="24"/>
          <w:szCs w:val="24"/>
        </w:rPr>
      </w:pPr>
      <w:r w:rsidRPr="004C6006">
        <w:rPr>
          <w:b/>
          <w:bCs/>
          <w:iCs/>
          <w:sz w:val="24"/>
          <w:szCs w:val="24"/>
        </w:rPr>
        <w:t>Součástí Výzvy k podání nabídky jsou následující přílohy</w:t>
      </w:r>
    </w:p>
    <w:p w:rsidR="00FE28A7" w:rsidRPr="004C6006" w:rsidRDefault="00FE28A7" w:rsidP="00FE28A7">
      <w:pPr>
        <w:spacing w:before="120"/>
        <w:jc w:val="both"/>
        <w:rPr>
          <w:sz w:val="24"/>
          <w:szCs w:val="24"/>
        </w:rPr>
      </w:pPr>
      <w:r w:rsidRPr="004C6006">
        <w:rPr>
          <w:snapToGrid w:val="0"/>
          <w:sz w:val="24"/>
          <w:szCs w:val="24"/>
        </w:rPr>
        <w:t xml:space="preserve">     </w:t>
      </w:r>
      <w:r w:rsidR="008904F5">
        <w:rPr>
          <w:snapToGrid w:val="0"/>
          <w:sz w:val="24"/>
          <w:szCs w:val="24"/>
        </w:rPr>
        <w:t xml:space="preserve">                  Příloha č. 1 Dílčí smlouva</w:t>
      </w:r>
    </w:p>
    <w:p w:rsidR="00FD1D04" w:rsidRPr="004C6006" w:rsidRDefault="00FD1D04">
      <w:pPr>
        <w:rPr>
          <w:sz w:val="24"/>
          <w:szCs w:val="24"/>
        </w:rPr>
      </w:pPr>
    </w:p>
    <w:sectPr w:rsidR="00FD1D04" w:rsidRPr="004C6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816CB"/>
    <w:multiLevelType w:val="hybridMultilevel"/>
    <w:tmpl w:val="3B70A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61564"/>
    <w:multiLevelType w:val="multilevel"/>
    <w:tmpl w:val="4DB481C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65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"/>
      <w:lvlJc w:val="left"/>
      <w:pPr>
        <w:ind w:left="2130" w:hanging="720"/>
      </w:pPr>
    </w:lvl>
    <w:lvl w:ilvl="3">
      <w:start w:val="1"/>
      <w:numFmt w:val="decimal"/>
      <w:lvlText w:val="%1.%2.%3.%4"/>
      <w:lvlJc w:val="left"/>
      <w:pPr>
        <w:ind w:left="2835" w:hanging="720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440" w:hanging="1800"/>
      </w:pPr>
    </w:lvl>
  </w:abstractNum>
  <w:abstractNum w:abstractNumId="2" w15:restartNumberingAfterBreak="0">
    <w:nsid w:val="7D8649AD"/>
    <w:multiLevelType w:val="hybridMultilevel"/>
    <w:tmpl w:val="5128C99C"/>
    <w:lvl w:ilvl="0" w:tplc="04050017">
      <w:start w:val="1"/>
      <w:numFmt w:val="lowerLetter"/>
      <w:lvlText w:val="%1)"/>
      <w:lvlJc w:val="left"/>
      <w:pPr>
        <w:ind w:left="747" w:hanging="360"/>
      </w:pPr>
    </w:lvl>
    <w:lvl w:ilvl="1" w:tplc="04050019">
      <w:start w:val="1"/>
      <w:numFmt w:val="lowerLetter"/>
      <w:lvlText w:val="%2."/>
      <w:lvlJc w:val="left"/>
      <w:pPr>
        <w:ind w:left="1467" w:hanging="360"/>
      </w:pPr>
    </w:lvl>
    <w:lvl w:ilvl="2" w:tplc="0405001B">
      <w:start w:val="1"/>
      <w:numFmt w:val="lowerRoman"/>
      <w:lvlText w:val="%3."/>
      <w:lvlJc w:val="right"/>
      <w:pPr>
        <w:ind w:left="2187" w:hanging="180"/>
      </w:pPr>
    </w:lvl>
    <w:lvl w:ilvl="3" w:tplc="0405000F">
      <w:start w:val="1"/>
      <w:numFmt w:val="decimal"/>
      <w:lvlText w:val="%4."/>
      <w:lvlJc w:val="left"/>
      <w:pPr>
        <w:ind w:left="2907" w:hanging="360"/>
      </w:pPr>
    </w:lvl>
    <w:lvl w:ilvl="4" w:tplc="04050019">
      <w:start w:val="1"/>
      <w:numFmt w:val="lowerLetter"/>
      <w:lvlText w:val="%5."/>
      <w:lvlJc w:val="left"/>
      <w:pPr>
        <w:ind w:left="3627" w:hanging="360"/>
      </w:pPr>
    </w:lvl>
    <w:lvl w:ilvl="5" w:tplc="0405001B">
      <w:start w:val="1"/>
      <w:numFmt w:val="lowerRoman"/>
      <w:lvlText w:val="%6."/>
      <w:lvlJc w:val="right"/>
      <w:pPr>
        <w:ind w:left="4347" w:hanging="180"/>
      </w:pPr>
    </w:lvl>
    <w:lvl w:ilvl="6" w:tplc="0405000F">
      <w:start w:val="1"/>
      <w:numFmt w:val="decimal"/>
      <w:lvlText w:val="%7."/>
      <w:lvlJc w:val="left"/>
      <w:pPr>
        <w:ind w:left="5067" w:hanging="360"/>
      </w:pPr>
    </w:lvl>
    <w:lvl w:ilvl="7" w:tplc="04050019">
      <w:start w:val="1"/>
      <w:numFmt w:val="lowerLetter"/>
      <w:lvlText w:val="%8."/>
      <w:lvlJc w:val="left"/>
      <w:pPr>
        <w:ind w:left="5787" w:hanging="360"/>
      </w:pPr>
    </w:lvl>
    <w:lvl w:ilvl="8" w:tplc="0405001B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7DD104CD"/>
    <w:multiLevelType w:val="hybridMultilevel"/>
    <w:tmpl w:val="58E849FE"/>
    <w:lvl w:ilvl="0" w:tplc="7CF4FE8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A7"/>
    <w:rsid w:val="001C1DE7"/>
    <w:rsid w:val="002E0ADC"/>
    <w:rsid w:val="004714DC"/>
    <w:rsid w:val="00475AE4"/>
    <w:rsid w:val="004C6006"/>
    <w:rsid w:val="005E7DE3"/>
    <w:rsid w:val="00703052"/>
    <w:rsid w:val="00752DAE"/>
    <w:rsid w:val="008904F5"/>
    <w:rsid w:val="008A2BB1"/>
    <w:rsid w:val="00FD1D04"/>
    <w:rsid w:val="00F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EE9B"/>
  <w15:chartTrackingRefBased/>
  <w15:docId w15:val="{C059230E-11EB-4883-A3C3-10BDCEC4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semiHidden/>
    <w:unhideWhenUsed/>
    <w:rsid w:val="00FE28A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FE28A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FE28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E28A7"/>
    <w:pPr>
      <w:ind w:left="720"/>
      <w:contextualSpacing/>
    </w:pPr>
  </w:style>
  <w:style w:type="table" w:styleId="Mkatabulky">
    <w:name w:val="Table Grid"/>
    <w:basedOn w:val="Normlntabulka"/>
    <w:uiPriority w:val="59"/>
    <w:rsid w:val="00FE28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Ředitelství silnic a dálnic ČR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Hustáková Michaela Ing.</dc:creator>
  <cp:keywords/>
  <dc:description/>
  <cp:lastModifiedBy>Geisselreiterová Dana</cp:lastModifiedBy>
  <cp:revision>5</cp:revision>
  <dcterms:created xsi:type="dcterms:W3CDTF">2021-07-14T07:25:00Z</dcterms:created>
  <dcterms:modified xsi:type="dcterms:W3CDTF">2021-08-03T05:02:00Z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66caf38196574a8ab255f54be666c59c.psdsxs" Id="Rfd362b8057e44f59" /></Relationships>
</file>