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07" w:rsidRDefault="00E73D9B" w:rsidP="00823A07">
      <w:pPr>
        <w:pStyle w:val="Nzev"/>
        <w:spacing w:before="0" w:after="0"/>
      </w:pPr>
      <w:bookmarkStart w:id="0" w:name="_Toc350412537"/>
      <w:r>
        <w:t>Výzva k podání nabídky</w:t>
      </w:r>
    </w:p>
    <w:p w:rsidR="00823A07" w:rsidRDefault="00E73D9B" w:rsidP="00823A07">
      <w:pPr>
        <w:pStyle w:val="Nzev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:rsidR="00823A07" w:rsidRDefault="00E73D9B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Ministerstvo</w:t>
      </w:r>
      <w:proofErr w:type="spellEnd"/>
      <w:r w:rsidR="006032CF" w:rsidRPr="006032CF">
        <w:rPr>
          <w:b w:val="0"/>
          <w:sz w:val="24"/>
          <w:szCs w:val="24"/>
          <w:lang w:val="en-US"/>
        </w:rPr>
        <w:t xml:space="preserve"> </w:t>
      </w:r>
      <w:proofErr w:type="spellStart"/>
      <w:r w:rsidR="006032CF" w:rsidRPr="006032CF">
        <w:rPr>
          <w:b w:val="0"/>
          <w:sz w:val="24"/>
          <w:szCs w:val="24"/>
          <w:lang w:val="en-US"/>
        </w:rPr>
        <w:t>obrany</w:t>
      </w:r>
      <w:proofErr w:type="spellEnd"/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 xml:space="preserve">podmínkách </w:t>
      </w:r>
      <w:r>
        <w:rPr>
          <w:b w:val="0"/>
          <w:sz w:val="24"/>
          <w:szCs w:val="24"/>
        </w:rPr>
        <w:t>nezbytných pro zpracování nabídky jsou uvedeny níže v zadávací dokumentaci.</w:t>
      </w:r>
    </w:p>
    <w:p w:rsidR="00823A07" w:rsidRPr="004C32B6" w:rsidRDefault="00E73D9B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v souladu s ustanovením § 31 ZZVZ </w:t>
      </w:r>
      <w:r>
        <w:rPr>
          <w:b w:val="0"/>
          <w:sz w:val="24"/>
          <w:szCs w:val="24"/>
        </w:rPr>
        <w:t xml:space="preserve">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</w:t>
      </w:r>
      <w:r w:rsidRPr="00ED2877">
        <w:rPr>
          <w:b w:val="0"/>
          <w:sz w:val="24"/>
          <w:szCs w:val="24"/>
        </w:rPr>
        <w:t>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:rsidR="008510CE" w:rsidRPr="00CC397E" w:rsidRDefault="00E73D9B" w:rsidP="00E33763">
      <w:pPr>
        <w:pStyle w:val="Nadpis1"/>
      </w:pPr>
      <w:r w:rsidRPr="00CC397E">
        <w:t>1.</w:t>
      </w:r>
      <w:r w:rsidRPr="00CC397E">
        <w:tab/>
        <w:t>zadavatel</w:t>
      </w:r>
      <w:bookmarkEnd w:id="0"/>
    </w:p>
    <w:p w:rsidR="008510CE" w:rsidRPr="00CC397E" w:rsidRDefault="00E73D9B" w:rsidP="00CC397E">
      <w:pPr>
        <w:pStyle w:val="Nadpis2"/>
      </w:pPr>
      <w:bookmarkStart w:id="1" w:name="_Toc350412538"/>
      <w:proofErr w:type="gramStart"/>
      <w:r w:rsidRPr="00CC397E">
        <w:t>1.1</w:t>
      </w:r>
      <w:proofErr w:type="gramEnd"/>
      <w:r w:rsidRPr="00CC397E">
        <w:t>.</w:t>
      </w:r>
      <w:r w:rsidRPr="00CC397E">
        <w:tab/>
        <w:t>Informace o zadavateli</w:t>
      </w:r>
      <w:bookmarkEnd w:id="1"/>
    </w:p>
    <w:p w:rsidR="00B73E2E" w:rsidRDefault="00B230D8" w:rsidP="00C03643">
      <w:pPr>
        <w:ind w:left="1418" w:hanging="1418"/>
      </w:pPr>
      <w:proofErr w:type="spellStart"/>
      <w:r w:rsidRPr="00E45B79">
        <w:rPr>
          <w:lang w:val="en-US"/>
        </w:rPr>
        <w:t>Ministerstvo</w:t>
      </w:r>
      <w:proofErr w:type="spellEnd"/>
      <w:r w:rsidRPr="00E45B79">
        <w:rPr>
          <w:lang w:val="en-US"/>
        </w:rPr>
        <w:t xml:space="preserve"> </w:t>
      </w:r>
      <w:proofErr w:type="spellStart"/>
      <w:r w:rsidRPr="00E45B79">
        <w:rPr>
          <w:lang w:val="en-US"/>
        </w:rPr>
        <w:t>obrany</w:t>
      </w:r>
      <w:proofErr w:type="spellEnd"/>
    </w:p>
    <w:p w:rsidR="00B73E2E" w:rsidRDefault="00E73D9B" w:rsidP="00B73E2E">
      <w:r w:rsidRPr="00E45B79">
        <w:rPr>
          <w:lang w:val="en-US"/>
        </w:rPr>
        <w:t>Tychonova221</w:t>
      </w:r>
      <w:r w:rsidRPr="00E45B79">
        <w:t>/</w:t>
      </w:r>
      <w:r w:rsidRPr="00E45B79">
        <w:rPr>
          <w:lang w:val="en-US"/>
        </w:rPr>
        <w:t>1</w:t>
      </w:r>
    </w:p>
    <w:p w:rsidR="00B73E2E" w:rsidRDefault="00E73D9B" w:rsidP="00B73E2E">
      <w:r w:rsidRPr="00E45B79">
        <w:rPr>
          <w:lang w:val="en-US"/>
        </w:rPr>
        <w:t>16000</w:t>
      </w:r>
      <w:r w:rsidRPr="00E45B79">
        <w:t xml:space="preserve">, </w:t>
      </w:r>
      <w:proofErr w:type="spellStart"/>
      <w:r w:rsidRPr="00E45B79">
        <w:rPr>
          <w:lang w:val="en-US"/>
        </w:rPr>
        <w:t>Praha</w:t>
      </w:r>
      <w:proofErr w:type="spellEnd"/>
      <w:r w:rsidRPr="00E45B79">
        <w:t xml:space="preserve">, </w:t>
      </w:r>
      <w:proofErr w:type="spellStart"/>
      <w:r w:rsidRPr="00E45B79">
        <w:rPr>
          <w:lang w:val="en-US"/>
        </w:rPr>
        <w:t>Hradčany</w:t>
      </w:r>
      <w:proofErr w:type="spellEnd"/>
    </w:p>
    <w:p w:rsidR="00B73E2E" w:rsidRDefault="00E73D9B" w:rsidP="00756A9E">
      <w:r w:rsidRPr="00E45B79">
        <w:t xml:space="preserve">IČO: </w:t>
      </w:r>
      <w:r w:rsidRPr="00E45B79">
        <w:rPr>
          <w:lang w:val="en-US"/>
        </w:rPr>
        <w:t>60162694</w:t>
      </w:r>
    </w:p>
    <w:p w:rsidR="005B570A" w:rsidRDefault="005B570A" w:rsidP="008510CE"/>
    <w:p w:rsidR="006032CF" w:rsidRDefault="00E73D9B" w:rsidP="008510CE">
      <w:r w:rsidRPr="00351810">
        <w:t xml:space="preserve">Kontaktní osoba: </w:t>
      </w:r>
      <w:proofErr w:type="spellStart"/>
      <w:r w:rsidRPr="00351810">
        <w:rPr>
          <w:lang w:val="en-US"/>
        </w:rPr>
        <w:t>Bc.Kateřina</w:t>
      </w:r>
      <w:proofErr w:type="spellEnd"/>
      <w:r w:rsidR="00112540">
        <w:rPr>
          <w:lang w:val="en-US"/>
        </w:rPr>
        <w:t xml:space="preserve"> </w:t>
      </w:r>
      <w:proofErr w:type="spellStart"/>
      <w:r w:rsidRPr="00351810">
        <w:rPr>
          <w:lang w:val="en-US"/>
        </w:rPr>
        <w:t>Řezníčková</w:t>
      </w:r>
      <w:proofErr w:type="spellEnd"/>
      <w:r w:rsidRPr="00351810">
        <w:br/>
        <w:t xml:space="preserve">tel.: </w:t>
      </w:r>
      <w:r w:rsidRPr="00351810">
        <w:rPr>
          <w:lang w:val="en-US"/>
        </w:rPr>
        <w:t>+420 973423229</w:t>
      </w:r>
      <w:r w:rsidR="00112540">
        <w:rPr>
          <w:lang w:val="en-US"/>
        </w:rPr>
        <w:t xml:space="preserve">, </w:t>
      </w:r>
      <w:r w:rsidRPr="00351810">
        <w:t xml:space="preserve">email: </w:t>
      </w:r>
      <w:r w:rsidRPr="00351810">
        <w:rPr>
          <w:lang w:val="en-US"/>
        </w:rPr>
        <w:t>reznickovak@army.cz</w:t>
      </w:r>
      <w:r w:rsidRPr="00351810">
        <w:br/>
      </w:r>
    </w:p>
    <w:p w:rsidR="008510CE" w:rsidRPr="00CC397E" w:rsidRDefault="00E73D9B" w:rsidP="00CC397E">
      <w:pPr>
        <w:pStyle w:val="Nadpis1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:rsidR="008510CE" w:rsidRPr="00DB162F" w:rsidRDefault="00E73D9B" w:rsidP="00CC397E">
      <w:pPr>
        <w:pStyle w:val="Nadpis2"/>
      </w:pPr>
      <w:proofErr w:type="gramStart"/>
      <w:r w:rsidRPr="00CC397E">
        <w:t>2.1</w:t>
      </w:r>
      <w:proofErr w:type="gramEnd"/>
      <w:r w:rsidRPr="00CC397E">
        <w:t>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/>
      </w:tblPr>
      <w:tblGrid>
        <w:gridCol w:w="3544"/>
        <w:gridCol w:w="5521"/>
      </w:tblGrid>
      <w:tr w:rsidR="00FD2F8B" w:rsidTr="00112540">
        <w:trPr>
          <w:cantSplit/>
        </w:trPr>
        <w:tc>
          <w:tcPr>
            <w:tcW w:w="3544" w:type="dxa"/>
            <w:vAlign w:val="center"/>
          </w:tcPr>
          <w:p w:rsidR="008510CE" w:rsidRPr="005A68A8" w:rsidRDefault="00E73D9B" w:rsidP="008510CE">
            <w:r w:rsidRPr="005A68A8">
              <w:t>Název veřejné zakázky:</w:t>
            </w:r>
          </w:p>
        </w:tc>
        <w:tc>
          <w:tcPr>
            <w:tcW w:w="5521" w:type="dxa"/>
            <w:vAlign w:val="center"/>
          </w:tcPr>
          <w:p w:rsidR="008510CE" w:rsidRPr="005A68A8" w:rsidRDefault="00E73D9B" w:rsidP="008510CE">
            <w:r w:rsidRPr="005A68A8">
              <w:t>Pronájem a servis mobilních umýváren v roce 2021</w:t>
            </w:r>
          </w:p>
        </w:tc>
      </w:tr>
      <w:tr w:rsidR="00FD2F8B" w:rsidTr="00112540">
        <w:trPr>
          <w:cantSplit/>
        </w:trPr>
        <w:tc>
          <w:tcPr>
            <w:tcW w:w="3544" w:type="dxa"/>
            <w:vAlign w:val="center"/>
          </w:tcPr>
          <w:p w:rsidR="008510CE" w:rsidRPr="005A68A8" w:rsidRDefault="00E73D9B" w:rsidP="008510CE">
            <w:r w:rsidRPr="005A68A8">
              <w:t>Druh veřejné zakázky:</w:t>
            </w:r>
          </w:p>
        </w:tc>
        <w:tc>
          <w:tcPr>
            <w:tcW w:w="5521" w:type="dxa"/>
            <w:vAlign w:val="center"/>
          </w:tcPr>
          <w:p w:rsidR="008510CE" w:rsidRPr="005A68A8" w:rsidRDefault="00E73D9B" w:rsidP="008510CE">
            <w:r w:rsidRPr="005A68A8">
              <w:t>Veřejná zakázka na služby</w:t>
            </w:r>
          </w:p>
        </w:tc>
      </w:tr>
      <w:tr w:rsidR="00FD2F8B" w:rsidTr="00112540">
        <w:trPr>
          <w:cantSplit/>
        </w:trPr>
        <w:tc>
          <w:tcPr>
            <w:tcW w:w="3544" w:type="dxa"/>
            <w:vAlign w:val="center"/>
          </w:tcPr>
          <w:p w:rsidR="008510CE" w:rsidRPr="005A68A8" w:rsidRDefault="00E73D9B" w:rsidP="008510CE">
            <w:r w:rsidRPr="005A68A8">
              <w:t>Systémové číslo veřejné zakázky:</w:t>
            </w:r>
          </w:p>
        </w:tc>
        <w:tc>
          <w:tcPr>
            <w:tcW w:w="5521" w:type="dxa"/>
            <w:vAlign w:val="center"/>
          </w:tcPr>
          <w:p w:rsidR="008510CE" w:rsidRPr="005A68A8" w:rsidRDefault="00E73D9B" w:rsidP="008510CE">
            <w:r w:rsidRPr="005A68A8">
              <w:t>N006/21/V00002614</w:t>
            </w:r>
          </w:p>
        </w:tc>
      </w:tr>
      <w:tr w:rsidR="00FD2F8B" w:rsidTr="00112540">
        <w:trPr>
          <w:cantSplit/>
        </w:trPr>
        <w:tc>
          <w:tcPr>
            <w:tcW w:w="3544" w:type="dxa"/>
          </w:tcPr>
          <w:p w:rsidR="008510CE" w:rsidRPr="005A68A8" w:rsidRDefault="00E73D9B" w:rsidP="008510CE">
            <w:r w:rsidRPr="005A68A8">
              <w:t>Typ veřejné zakázky:</w:t>
            </w:r>
          </w:p>
        </w:tc>
        <w:tc>
          <w:tcPr>
            <w:tcW w:w="5521" w:type="dxa"/>
          </w:tcPr>
          <w:p w:rsidR="008510CE" w:rsidRPr="005A68A8" w:rsidRDefault="00E73D9B" w:rsidP="008510CE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FD2F8B" w:rsidTr="00112540">
        <w:trPr>
          <w:cantSplit/>
        </w:trPr>
        <w:tc>
          <w:tcPr>
            <w:tcW w:w="3544" w:type="dxa"/>
          </w:tcPr>
          <w:p w:rsidR="008510CE" w:rsidRPr="005A68A8" w:rsidRDefault="00E73D9B" w:rsidP="008510CE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5521" w:type="dxa"/>
          </w:tcPr>
          <w:p w:rsidR="008510CE" w:rsidRPr="005A68A8" w:rsidRDefault="00E73D9B" w:rsidP="008510CE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:rsidR="008510CE" w:rsidRPr="0096282C" w:rsidRDefault="008510CE" w:rsidP="008510CE"/>
    <w:p w:rsidR="008510CE" w:rsidRDefault="00E73D9B" w:rsidP="008510CE">
      <w:r w:rsidRPr="00B3108F">
        <w:t>Výsledkem zadáva</w:t>
      </w:r>
      <w:r w:rsidR="00AB78B6">
        <w:t>cího postupu</w:t>
      </w:r>
      <w:r w:rsidR="00112540">
        <w:t xml:space="preserve"> </w:t>
      </w:r>
      <w:r>
        <w:t xml:space="preserve">bude </w:t>
      </w:r>
      <w:r w:rsidRPr="00B3108F">
        <w:t>uzavření rámcové dohody. Rámcová dohoda bude uzavřena s jedním účastníkem</w:t>
      </w:r>
      <w:r w:rsidR="006E3D48">
        <w:t>.</w:t>
      </w:r>
    </w:p>
    <w:p w:rsidR="00E33763" w:rsidRDefault="00E73D9B" w:rsidP="00E33763">
      <w:pPr>
        <w:pStyle w:val="Nadpis2"/>
      </w:pPr>
      <w:proofErr w:type="gramStart"/>
      <w:r w:rsidRPr="00F4692D">
        <w:lastRenderedPageBreak/>
        <w:t>2.2</w:t>
      </w:r>
      <w:proofErr w:type="gramEnd"/>
      <w:r w:rsidRPr="00F4692D">
        <w:t>.</w:t>
      </w:r>
      <w:r w:rsidRPr="00F4692D">
        <w:tab/>
        <w:t>Předmět veřejné zakázky</w:t>
      </w:r>
    </w:p>
    <w:p w:rsidR="00E17873" w:rsidRPr="00AB097D" w:rsidRDefault="00E73D9B" w:rsidP="00FA1ECB">
      <w:pPr>
        <w:keepNext/>
        <w:spacing w:before="240" w:after="120"/>
        <w:contextualSpacing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:rsidR="00E17873" w:rsidRPr="00AB097D" w:rsidRDefault="00E17873" w:rsidP="00C02E30">
      <w:pPr>
        <w:keepNext/>
        <w:ind w:left="284"/>
        <w:rPr>
          <w:bCs/>
          <w:color w:val="000000" w:themeColor="text1"/>
        </w:rPr>
      </w:pPr>
    </w:p>
    <w:p w:rsidR="00E17873" w:rsidRPr="00AB097D" w:rsidRDefault="00E73D9B" w:rsidP="00C02E30">
      <w:pPr>
        <w:ind w:left="284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>Předmětem této veřejné zakázky malého rozsahu (dále též „VZMR“) je poskytování služby krátkodobý pronájem a servis 1 - 10 kusů mobilních umýváren v roce 2021 dále specifikované v zadání této VZMR. Sl</w:t>
      </w:r>
      <w:r w:rsidRPr="00AB097D">
        <w:rPr>
          <w:color w:val="000000" w:themeColor="text1"/>
        </w:rPr>
        <w:t xml:space="preserve">užba bude poskytovatelem realizována postupně po </w:t>
      </w:r>
      <w:proofErr w:type="gramStart"/>
      <w:r w:rsidRPr="00AB097D">
        <w:rPr>
          <w:color w:val="000000" w:themeColor="text1"/>
        </w:rPr>
        <w:t>dílčích</w:t>
      </w:r>
      <w:proofErr w:type="gramEnd"/>
      <w:r w:rsidRPr="00AB097D">
        <w:rPr>
          <w:color w:val="000000" w:themeColor="text1"/>
        </w:rPr>
        <w:t xml:space="preserve"> plnění v souladu s podmínkami stanovenými ve smluvním vzoru Rámcové dohody na poskytování služeb, který tvoří přílohu této výzvy. Každá nabídka účastníka tohoto zadávacího řízení musí obsahovat vypln</w:t>
      </w:r>
      <w:r w:rsidRPr="00AB097D">
        <w:rPr>
          <w:color w:val="000000" w:themeColor="text1"/>
        </w:rPr>
        <w:t xml:space="preserve">ěný návrh Rámcové dohody. Zadavatel nepřipouští variantní řešení. </w:t>
      </w:r>
    </w:p>
    <w:p w:rsidR="00E17873" w:rsidRPr="00AB097D" w:rsidRDefault="00E17873" w:rsidP="00C02E30">
      <w:pPr>
        <w:ind w:left="284"/>
        <w:rPr>
          <w:bCs/>
          <w:color w:val="000000" w:themeColor="text1"/>
          <w:highlight w:val="lightGray"/>
        </w:rPr>
      </w:pPr>
    </w:p>
    <w:p w:rsidR="00E17873" w:rsidRPr="00AB097D" w:rsidRDefault="00E73D9B" w:rsidP="00C74358">
      <w:pPr>
        <w:keepNext/>
        <w:keepLines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p w:rsidR="00E17873" w:rsidRPr="00AB097D" w:rsidRDefault="00E17873" w:rsidP="00C74358">
      <w:pPr>
        <w:keepNext/>
        <w:keepLines/>
        <w:rPr>
          <w:b/>
          <w:bCs/>
          <w:color w:val="000000" w:themeColor="text1"/>
        </w:rPr>
      </w:pPr>
    </w:p>
    <w:tbl>
      <w:tblPr>
        <w:tblStyle w:val="Mkatabulky"/>
        <w:tblW w:w="5471" w:type="pct"/>
        <w:tblLayout w:type="fixed"/>
        <w:tblLook w:val="04A0"/>
      </w:tblPr>
      <w:tblGrid>
        <w:gridCol w:w="1233"/>
        <w:gridCol w:w="1493"/>
        <w:gridCol w:w="1246"/>
        <w:gridCol w:w="1502"/>
        <w:gridCol w:w="1246"/>
        <w:gridCol w:w="1262"/>
        <w:gridCol w:w="2179"/>
      </w:tblGrid>
      <w:tr w:rsidR="00112540" w:rsidTr="00112540">
        <w:trPr>
          <w:cantSplit/>
          <w:trHeight w:val="510"/>
        </w:trPr>
        <w:tc>
          <w:tcPr>
            <w:tcW w:w="607" w:type="pct"/>
            <w:vAlign w:val="center"/>
          </w:tcPr>
          <w:p w:rsidR="00112540" w:rsidRPr="00AB097D" w:rsidRDefault="0011254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35" w:type="pct"/>
            <w:vAlign w:val="center"/>
          </w:tcPr>
          <w:p w:rsidR="00112540" w:rsidRPr="00AB097D" w:rsidRDefault="0011254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613" w:type="pct"/>
            <w:vAlign w:val="center"/>
          </w:tcPr>
          <w:p w:rsidR="00112540" w:rsidRPr="00AB097D" w:rsidRDefault="0011254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39" w:type="pct"/>
            <w:vAlign w:val="center"/>
          </w:tcPr>
          <w:p w:rsidR="00112540" w:rsidRPr="00AB097D" w:rsidRDefault="0011254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613" w:type="pct"/>
            <w:vAlign w:val="center"/>
          </w:tcPr>
          <w:p w:rsidR="00112540" w:rsidRPr="00AB097D" w:rsidRDefault="0011254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621" w:type="pct"/>
            <w:vAlign w:val="center"/>
          </w:tcPr>
          <w:p w:rsidR="00112540" w:rsidRPr="00AB097D" w:rsidRDefault="0011254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Množství</w:t>
            </w:r>
          </w:p>
        </w:tc>
        <w:tc>
          <w:tcPr>
            <w:tcW w:w="1072" w:type="pct"/>
            <w:vAlign w:val="center"/>
          </w:tcPr>
          <w:p w:rsidR="00112540" w:rsidRPr="00AB097D" w:rsidRDefault="0011254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Měrná jednotka/Vlastní jednotka</w:t>
            </w:r>
          </w:p>
        </w:tc>
      </w:tr>
      <w:tr w:rsidR="00112540" w:rsidTr="00112540">
        <w:trPr>
          <w:cantSplit/>
          <w:trHeight w:val="510"/>
        </w:trPr>
        <w:tc>
          <w:tcPr>
            <w:tcW w:w="607" w:type="pct"/>
            <w:vAlign w:val="center"/>
          </w:tcPr>
          <w:p w:rsidR="00112540" w:rsidRPr="00AB097D" w:rsidRDefault="0011254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Krátkodobý pronájem a </w:t>
            </w:r>
            <w:proofErr w:type="spellStart"/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meziservis</w:t>
            </w:r>
            <w:proofErr w:type="spellEnd"/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- mobilní umývárna</w:t>
            </w:r>
          </w:p>
        </w:tc>
        <w:tc>
          <w:tcPr>
            <w:tcW w:w="735" w:type="pct"/>
            <w:vAlign w:val="center"/>
          </w:tcPr>
          <w:p w:rsidR="00112540" w:rsidRPr="00AB097D" w:rsidRDefault="0011254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90920000-2</w:t>
            </w:r>
          </w:p>
        </w:tc>
        <w:tc>
          <w:tcPr>
            <w:tcW w:w="613" w:type="pct"/>
            <w:vAlign w:val="center"/>
          </w:tcPr>
          <w:p w:rsidR="00112540" w:rsidRPr="00AB097D" w:rsidRDefault="0011254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Zařízení související s hygienickými službami</w:t>
            </w:r>
          </w:p>
        </w:tc>
        <w:tc>
          <w:tcPr>
            <w:tcW w:w="739" w:type="pct"/>
            <w:vAlign w:val="center"/>
          </w:tcPr>
          <w:p w:rsidR="00112540" w:rsidRPr="00AB097D" w:rsidRDefault="0011254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90920000-2</w:t>
            </w:r>
          </w:p>
        </w:tc>
        <w:tc>
          <w:tcPr>
            <w:tcW w:w="613" w:type="pct"/>
            <w:vAlign w:val="center"/>
          </w:tcPr>
          <w:p w:rsidR="00112540" w:rsidRPr="00AB097D" w:rsidRDefault="00112540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Zařízení související s hygienickými službami</w:t>
            </w:r>
          </w:p>
        </w:tc>
        <w:tc>
          <w:tcPr>
            <w:tcW w:w="621" w:type="pct"/>
            <w:vAlign w:val="center"/>
          </w:tcPr>
          <w:p w:rsidR="00112540" w:rsidRPr="00AB097D" w:rsidRDefault="00112540" w:rsidP="00C74358">
            <w:pPr>
              <w:keepNext/>
              <w:keepLines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color w:val="000000" w:themeColor="text1"/>
              </w:rPr>
              <w:t>1,00</w:t>
            </w:r>
          </w:p>
        </w:tc>
        <w:tc>
          <w:tcPr>
            <w:tcW w:w="1072" w:type="pct"/>
            <w:vAlign w:val="center"/>
          </w:tcPr>
          <w:p w:rsidR="00112540" w:rsidRPr="00AB097D" w:rsidRDefault="00112540" w:rsidP="00C74358">
            <w:pPr>
              <w:keepNext/>
              <w:keepLines/>
              <w:jc w:val="center"/>
              <w:rPr>
                <w:color w:val="000000" w:themeColor="text1"/>
                <w:sz w:val="18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zakázka</w:t>
            </w:r>
          </w:p>
          <w:p w:rsidR="00112540" w:rsidRPr="00AB097D" w:rsidRDefault="00112540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74358" w:rsidRPr="00AB097D" w:rsidRDefault="00C74358" w:rsidP="00C74358">
      <w:pPr>
        <w:rPr>
          <w:b/>
          <w:bCs/>
          <w:color w:val="000000" w:themeColor="text1"/>
          <w:sz w:val="18"/>
          <w:highlight w:val="lightGray"/>
        </w:rPr>
      </w:pPr>
    </w:p>
    <w:p w:rsidR="00E17873" w:rsidRPr="003E3C10" w:rsidRDefault="00E73D9B" w:rsidP="00E17873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:rsidR="00B42812" w:rsidRPr="002E5A57" w:rsidRDefault="00B42812" w:rsidP="00AB097D">
      <w:pPr>
        <w:ind w:left="284"/>
      </w:pPr>
    </w:p>
    <w:p w:rsidR="00E17873" w:rsidRPr="002E5A57" w:rsidRDefault="00E73D9B" w:rsidP="00AB097D">
      <w:pPr>
        <w:keepNext/>
        <w:ind w:left="284"/>
      </w:pPr>
      <w:r w:rsidRPr="004218D4">
        <w:rPr>
          <w:b/>
        </w:rPr>
        <w:t>Název položky:</w:t>
      </w:r>
      <w:r w:rsidR="00112540">
        <w:rPr>
          <w:b/>
        </w:rPr>
        <w:t xml:space="preserve"> </w:t>
      </w:r>
      <w:r w:rsidRPr="002E5A57">
        <w:t xml:space="preserve">Krátkodobý pronájem a </w:t>
      </w:r>
      <w:proofErr w:type="spellStart"/>
      <w:r w:rsidRPr="002E5A57">
        <w:t>meziservis</w:t>
      </w:r>
      <w:proofErr w:type="spellEnd"/>
      <w:r w:rsidRPr="002E5A57">
        <w:t xml:space="preserve"> - mobilní umývárna</w:t>
      </w:r>
    </w:p>
    <w:p w:rsidR="00E17873" w:rsidRPr="002E5A57" w:rsidRDefault="00E17873" w:rsidP="00F81FD5">
      <w:pPr>
        <w:ind w:left="284"/>
      </w:pPr>
    </w:p>
    <w:p w:rsidR="00E17873" w:rsidRPr="004218D4" w:rsidRDefault="00E73D9B" w:rsidP="00AB097D">
      <w:pPr>
        <w:keepNext/>
        <w:ind w:left="284"/>
        <w:rPr>
          <w:b/>
        </w:rPr>
      </w:pPr>
      <w:r w:rsidRPr="004218D4">
        <w:rPr>
          <w:b/>
        </w:rPr>
        <w:t>Stručný popis položky:</w:t>
      </w:r>
    </w:p>
    <w:p w:rsidR="00E17873" w:rsidRPr="002E5A57" w:rsidRDefault="00E73D9B" w:rsidP="00AB097D">
      <w:pPr>
        <w:keepNext/>
        <w:ind w:left="284"/>
      </w:pPr>
      <w:r w:rsidRPr="002E5A57">
        <w:t xml:space="preserve">Jedná se </w:t>
      </w:r>
      <w:r w:rsidRPr="002E5A57">
        <w:t xml:space="preserve">zajištění služby - krátkodobý pronájem mobilních umýváren v délce 1 – 7 dní, krátkodobý pronájem mobilních umýváren v délce 1 – 14 dní a provádění </w:t>
      </w:r>
      <w:proofErr w:type="spellStart"/>
      <w:r w:rsidRPr="002E5A57">
        <w:t>meziservisů</w:t>
      </w:r>
      <w:proofErr w:type="spellEnd"/>
      <w:r w:rsidRPr="002E5A57">
        <w:t xml:space="preserve"> mobilních umýváren.</w:t>
      </w:r>
    </w:p>
    <w:p w:rsidR="00CF465C" w:rsidRPr="007B5B89" w:rsidRDefault="00CF465C" w:rsidP="00B15D27">
      <w:pPr>
        <w:tabs>
          <w:tab w:val="left" w:pos="-142"/>
        </w:tabs>
        <w:rPr>
          <w:color w:val="1F497D" w:themeColor="text2"/>
          <w:sz w:val="16"/>
          <w:szCs w:val="16"/>
        </w:rPr>
      </w:pPr>
    </w:p>
    <w:p w:rsidR="008510CE" w:rsidRPr="00F4692D" w:rsidRDefault="00E73D9B" w:rsidP="00CC397E">
      <w:pPr>
        <w:pStyle w:val="Nadpis2"/>
      </w:pPr>
      <w:proofErr w:type="gramStart"/>
      <w:r w:rsidRPr="00F4692D">
        <w:t>2.3</w:t>
      </w:r>
      <w:proofErr w:type="gramEnd"/>
      <w:r w:rsidRPr="00F4692D">
        <w:t>.</w:t>
      </w:r>
      <w:r w:rsidRPr="00F4692D">
        <w:tab/>
        <w:t>Doba a místo</w:t>
      </w:r>
      <w:r w:rsidR="00112540">
        <w:t xml:space="preserve"> </w:t>
      </w:r>
      <w:r w:rsidRPr="00F4692D">
        <w:t>plnění veřejné zakázky</w:t>
      </w:r>
    </w:p>
    <w:p w:rsidR="008510CE" w:rsidRPr="00F4692D" w:rsidRDefault="00E73D9B" w:rsidP="008510CE">
      <w:pPr>
        <w:contextualSpacing/>
      </w:pPr>
      <w:r w:rsidRPr="00F4692D">
        <w:t>Předpokládaná doba plnění veřejné zakázky je:</w:t>
      </w:r>
      <w:r w:rsidR="00112540">
        <w:t xml:space="preserve"> </w:t>
      </w:r>
      <w:r w:rsidRPr="00F4692D">
        <w:t>Doba plnění je od uza</w:t>
      </w:r>
      <w:r w:rsidRPr="00F4692D">
        <w:t xml:space="preserve">vření Rámcové dohody do </w:t>
      </w:r>
      <w:proofErr w:type="gramStart"/>
      <w:r w:rsidRPr="00F4692D">
        <w:t>31.12.2021</w:t>
      </w:r>
      <w:proofErr w:type="gramEnd"/>
      <w:r w:rsidRPr="00F4692D">
        <w:t xml:space="preserve">, konkrétní termíny budou uvedeny vždy v každé dílčí objednávce - výzvě k plnění, dle aktuálních potřeb zadavatele. </w:t>
      </w:r>
    </w:p>
    <w:p w:rsidR="008510CE" w:rsidRDefault="008510CE" w:rsidP="008510CE"/>
    <w:p w:rsidR="00A65BF3" w:rsidRDefault="00E73D9B" w:rsidP="0035470A">
      <w:r>
        <w:t>Hlavní místo plnění veřejné zakázky: Olomoucký kraj</w:t>
      </w:r>
    </w:p>
    <w:p w:rsidR="00A65BF3" w:rsidRDefault="00A65BF3" w:rsidP="0035470A"/>
    <w:p w:rsidR="00FD09E4" w:rsidRDefault="00E73D9B" w:rsidP="00CC397E">
      <w:r w:rsidRPr="00F4692D">
        <w:t>Místo plnění veřejné zakázky:</w:t>
      </w:r>
    </w:p>
    <w:p w:rsidR="00573355" w:rsidRDefault="00E73D9B" w:rsidP="0035470A">
      <w:r w:rsidRPr="00F4692D">
        <w:t>Místem plnění a prová</w:t>
      </w:r>
      <w:r w:rsidRPr="00F4692D">
        <w:t xml:space="preserve">dění služby jsou výcviková zařízení Střediska obsluhy výcvikového zařízení </w:t>
      </w:r>
      <w:proofErr w:type="spellStart"/>
      <w:r w:rsidRPr="00F4692D">
        <w:t>Libavá</w:t>
      </w:r>
      <w:proofErr w:type="spellEnd"/>
      <w:r w:rsidRPr="00F4692D">
        <w:t xml:space="preserve"> ve Vojenském výcvikovém prostoru </w:t>
      </w:r>
      <w:proofErr w:type="spellStart"/>
      <w:r w:rsidRPr="00F4692D">
        <w:t>Libavá</w:t>
      </w:r>
      <w:proofErr w:type="spellEnd"/>
      <w:r w:rsidRPr="00F4692D">
        <w:t xml:space="preserve"> dle konkrétní objednávkou zadaných souřadnic GPS.</w:t>
      </w:r>
    </w:p>
    <w:p w:rsidR="008510CE" w:rsidRPr="00F4692D" w:rsidRDefault="008510CE" w:rsidP="000D5700">
      <w:pPr>
        <w:tabs>
          <w:tab w:val="right" w:pos="2520"/>
        </w:tabs>
      </w:pPr>
    </w:p>
    <w:p w:rsidR="00926E74" w:rsidRDefault="00112540" w:rsidP="00926E74">
      <w:pPr>
        <w:pStyle w:val="Nadpis1"/>
      </w:pPr>
      <w:r>
        <w:t>3</w:t>
      </w:r>
      <w:r w:rsidR="00E73D9B" w:rsidRPr="00CC397E">
        <w:t>.</w:t>
      </w:r>
      <w:r w:rsidR="00E73D9B" w:rsidRPr="00CC397E">
        <w:tab/>
        <w:t>Požadavek Na způsob zpracování nabídkové ceny</w:t>
      </w:r>
    </w:p>
    <w:p w:rsidR="00926E74" w:rsidRPr="00365501" w:rsidRDefault="00926E74" w:rsidP="00926E74"/>
    <w:p w:rsidR="00926E74" w:rsidRPr="005D22A8" w:rsidRDefault="00E73D9B" w:rsidP="00926E74">
      <w:pPr>
        <w:widowControl w:val="0"/>
        <w:ind w:right="-108"/>
        <w:rPr>
          <w:bCs/>
        </w:rPr>
      </w:pPr>
      <w:r w:rsidRPr="005D22A8">
        <w:rPr>
          <w:bCs/>
        </w:rPr>
        <w:t xml:space="preserve">Dodavatel ve své nabídce stanoví celkovou nabídkovou cenu za celý předmět veřejné zakázky </w:t>
      </w:r>
      <w:r w:rsidRPr="005D22A8">
        <w:rPr>
          <w:bCs/>
        </w:rPr>
        <w:lastRenderedPageBreak/>
        <w:t>vyjádřenou v CZK</w:t>
      </w:r>
      <w:r>
        <w:rPr>
          <w:bCs/>
        </w:rPr>
        <w:t xml:space="preserve"> (koruna česká)</w:t>
      </w:r>
      <w:r w:rsidRPr="005D22A8">
        <w:rPr>
          <w:bCs/>
        </w:rPr>
        <w:t>.</w:t>
      </w:r>
    </w:p>
    <w:p w:rsidR="00926E74" w:rsidRPr="005D22A8" w:rsidRDefault="00926E74" w:rsidP="00926E74">
      <w:pPr>
        <w:widowControl w:val="0"/>
        <w:ind w:right="-108"/>
        <w:rPr>
          <w:bCs/>
        </w:rPr>
      </w:pPr>
    </w:p>
    <w:p w:rsidR="00926E74" w:rsidRPr="005D22A8" w:rsidRDefault="00E73D9B" w:rsidP="00926E74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</w:t>
      </w:r>
      <w:r w:rsidRPr="005D22A8">
        <w:rPr>
          <w:bCs/>
        </w:rPr>
        <w:t>né a včasné realizaci předmětu veřejné zakázky.</w:t>
      </w:r>
    </w:p>
    <w:p w:rsidR="00926E74" w:rsidRPr="005D22A8" w:rsidRDefault="00926E74" w:rsidP="00926E74">
      <w:pPr>
        <w:widowControl w:val="0"/>
        <w:ind w:right="-108"/>
        <w:rPr>
          <w:bCs/>
        </w:rPr>
      </w:pPr>
    </w:p>
    <w:p w:rsidR="00926E74" w:rsidRPr="005D22A8" w:rsidRDefault="00E73D9B" w:rsidP="00926E74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:rsidR="00926E74" w:rsidRDefault="00926E74" w:rsidP="00926E74">
      <w:pPr>
        <w:widowControl w:val="0"/>
        <w:ind w:right="-108"/>
        <w:rPr>
          <w:bCs/>
        </w:rPr>
      </w:pPr>
    </w:p>
    <w:p w:rsidR="00112540" w:rsidRDefault="00112540" w:rsidP="00112540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 xml:space="preserve">kritéria - Nabídková cena (K001) </w:t>
      </w:r>
      <w:r w:rsidRPr="005D22A8">
        <w:rPr>
          <w:bCs/>
        </w:rPr>
        <w:t>bude členěna jako cena bez DPH, výše DPH včetně příslušné sazby DPH, nabídková cena s DPH.</w:t>
      </w:r>
    </w:p>
    <w:p w:rsidR="00082D29" w:rsidRPr="00082D29" w:rsidRDefault="00082D29" w:rsidP="008510CE">
      <w:pPr>
        <w:rPr>
          <w:u w:val="single"/>
        </w:rPr>
      </w:pPr>
    </w:p>
    <w:p w:rsidR="009100D4" w:rsidRPr="00067CD4" w:rsidRDefault="00112540" w:rsidP="00CD02E3">
      <w:pPr>
        <w:widowControl w:val="0"/>
        <w:spacing w:before="240"/>
        <w:ind w:right="-108"/>
        <w:rPr>
          <w:rFonts w:cs="Arial"/>
          <w:b/>
          <w:bCs/>
          <w:caps/>
          <w:kern w:val="32"/>
          <w:szCs w:val="32"/>
        </w:rPr>
      </w:pPr>
      <w:r>
        <w:rPr>
          <w:rFonts w:cs="Arial"/>
          <w:b/>
          <w:bCs/>
          <w:caps/>
          <w:kern w:val="32"/>
          <w:szCs w:val="32"/>
        </w:rPr>
        <w:t>4</w:t>
      </w:r>
      <w:r w:rsidR="00E73D9B" w:rsidRPr="009100D4">
        <w:rPr>
          <w:rFonts w:cs="Arial"/>
          <w:b/>
          <w:bCs/>
          <w:caps/>
          <w:kern w:val="32"/>
          <w:szCs w:val="32"/>
        </w:rPr>
        <w:t>.</w:t>
      </w:r>
      <w:r w:rsidR="00E73D9B" w:rsidRPr="009100D4">
        <w:rPr>
          <w:rFonts w:cs="Arial"/>
          <w:b/>
          <w:bCs/>
          <w:caps/>
          <w:kern w:val="32"/>
          <w:szCs w:val="32"/>
        </w:rPr>
        <w:tab/>
        <w:t xml:space="preserve">Hodnocenínabídek </w:t>
      </w:r>
    </w:p>
    <w:p w:rsidR="00324BCF" w:rsidRDefault="00112540" w:rsidP="00324BCF">
      <w:pPr>
        <w:keepNext/>
        <w:tabs>
          <w:tab w:val="left" w:pos="993"/>
        </w:tabs>
        <w:spacing w:before="360"/>
        <w:ind w:left="408" w:hanging="408"/>
        <w:outlineLvl w:val="1"/>
        <w:rPr>
          <w:rFonts w:cs="Arial"/>
          <w:b/>
          <w:bCs/>
          <w:iCs/>
          <w:szCs w:val="28"/>
        </w:rPr>
      </w:pPr>
      <w:proofErr w:type="gramStart"/>
      <w:r>
        <w:rPr>
          <w:rFonts w:cs="Arial"/>
          <w:b/>
          <w:bCs/>
          <w:iCs/>
          <w:szCs w:val="28"/>
        </w:rPr>
        <w:t>4</w:t>
      </w:r>
      <w:r w:rsidR="00E73D9B">
        <w:rPr>
          <w:rFonts w:cs="Arial"/>
          <w:b/>
          <w:bCs/>
          <w:iCs/>
          <w:szCs w:val="28"/>
        </w:rPr>
        <w:t>.1</w:t>
      </w:r>
      <w:proofErr w:type="gramEnd"/>
      <w:r w:rsidR="00E73D9B">
        <w:rPr>
          <w:rFonts w:cs="Arial"/>
          <w:b/>
          <w:bCs/>
          <w:iCs/>
          <w:szCs w:val="28"/>
        </w:rPr>
        <w:t>.</w:t>
      </w:r>
      <w:r w:rsidR="00E73D9B">
        <w:rPr>
          <w:rFonts w:cs="Arial"/>
          <w:b/>
          <w:bCs/>
          <w:iCs/>
          <w:szCs w:val="28"/>
        </w:rPr>
        <w:tab/>
      </w:r>
      <w:r w:rsidR="00E73D9B">
        <w:rPr>
          <w:rFonts w:cs="Arial"/>
          <w:b/>
          <w:bCs/>
          <w:iCs/>
          <w:szCs w:val="28"/>
        </w:rPr>
        <w:t>Kritéria hodnocení</w:t>
      </w:r>
    </w:p>
    <w:p w:rsidR="00324BCF" w:rsidRDefault="00324BCF" w:rsidP="00324BCF"/>
    <w:p w:rsidR="00324BCF" w:rsidRDefault="00E73D9B" w:rsidP="00324BCF">
      <w:r>
        <w:t>Zadavatel</w:t>
      </w:r>
      <w:r w:rsidR="004452C0">
        <w:t xml:space="preserve"> bude</w:t>
      </w:r>
      <w:r w:rsidR="00112540">
        <w:t xml:space="preserve"> </w:t>
      </w:r>
      <w:r>
        <w:t>nabídky</w:t>
      </w:r>
      <w:r w:rsidR="00112540">
        <w:t xml:space="preserve"> </w:t>
      </w:r>
      <w:r>
        <w:t>hodnotit podle jejich ekonomické výhodnosti.</w:t>
      </w:r>
    </w:p>
    <w:p w:rsidR="00067CD4" w:rsidRDefault="00067CD4" w:rsidP="00324BCF">
      <w:pPr>
        <w:rPr>
          <w:bCs/>
        </w:rPr>
      </w:pPr>
    </w:p>
    <w:p w:rsidR="00324BCF" w:rsidRDefault="00E73D9B" w:rsidP="00324BCF">
      <w:pPr>
        <w:rPr>
          <w:b/>
          <w:bCs/>
        </w:rPr>
      </w:pPr>
      <w:r>
        <w:rPr>
          <w:bCs/>
        </w:rPr>
        <w:t>Z</w:t>
      </w:r>
      <w:r w:rsidR="000605C0">
        <w:rPr>
          <w:bCs/>
        </w:rPr>
        <w:t>adavatel zvolil kritériem</w:t>
      </w:r>
      <w:r w:rsidR="00112540">
        <w:rPr>
          <w:bCs/>
        </w:rPr>
        <w:t xml:space="preserve"> </w:t>
      </w:r>
      <w:r w:rsidR="000605C0">
        <w:rPr>
          <w:bCs/>
        </w:rPr>
        <w:t>hodnocení</w:t>
      </w:r>
      <w:r w:rsidR="000605C0">
        <w:rPr>
          <w:b/>
          <w:bCs/>
        </w:rPr>
        <w:t xml:space="preserve"> nejnižší nabídkovou cenu.</w:t>
      </w:r>
    </w:p>
    <w:p w:rsidR="0070402B" w:rsidRDefault="0070402B" w:rsidP="006055CD"/>
    <w:p w:rsidR="0070402B" w:rsidRDefault="00112540" w:rsidP="00DB13DA">
      <w:pPr>
        <w:keepNext/>
      </w:pPr>
      <w:r>
        <w:rPr>
          <w:bCs/>
        </w:rPr>
        <w:t>4</w:t>
      </w:r>
      <w:r w:rsidR="00E73D9B" w:rsidRPr="00B60D77">
        <w:rPr>
          <w:bCs/>
        </w:rPr>
        <w:t>.1.1.</w:t>
      </w:r>
      <w:r w:rsidR="00E73D9B" w:rsidRPr="00B60D77">
        <w:rPr>
          <w:bCs/>
        </w:rPr>
        <w:tab/>
      </w:r>
      <w:r w:rsidR="00E73D9B" w:rsidRPr="0070402B">
        <w:rPr>
          <w:bCs/>
        </w:rPr>
        <w:t>Podrobnosti kritérií</w:t>
      </w:r>
      <w:r>
        <w:rPr>
          <w:bCs/>
        </w:rPr>
        <w:t xml:space="preserve"> </w:t>
      </w:r>
      <w:r w:rsidR="00E73D9B" w:rsidRPr="0070402B">
        <w:rPr>
          <w:bCs/>
        </w:rPr>
        <w:t>hodnocení</w:t>
      </w:r>
    </w:p>
    <w:p w:rsidR="0070402B" w:rsidRPr="0070402B" w:rsidRDefault="0070402B" w:rsidP="00DB13DA">
      <w:pPr>
        <w:keepNext/>
      </w:pPr>
    </w:p>
    <w:p w:rsidR="0001135D" w:rsidRPr="0001135D" w:rsidRDefault="00E73D9B" w:rsidP="0001135D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>bídky</w:t>
      </w:r>
      <w:r w:rsidR="00112540">
        <w:rPr>
          <w:bCs/>
        </w:rPr>
        <w:t xml:space="preserve"> </w:t>
      </w:r>
      <w:r w:rsidRPr="0001135D">
        <w:rPr>
          <w:bCs/>
        </w:rPr>
        <w:t xml:space="preserve">budou hodnoceny na základě níže uvedených kritérií hodnocení </w:t>
      </w:r>
      <w:r w:rsidRPr="0001135D">
        <w:rPr>
          <w:bCs/>
        </w:rPr>
        <w:t>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4"/>
        <w:gridCol w:w="3295"/>
        <w:gridCol w:w="1413"/>
        <w:gridCol w:w="1413"/>
        <w:gridCol w:w="1456"/>
      </w:tblGrid>
      <w:tr w:rsidR="00FD2F8B" w:rsidTr="004F22AD">
        <w:trPr>
          <w:cantSplit/>
        </w:trPr>
        <w:tc>
          <w:tcPr>
            <w:tcW w:w="1758" w:type="dxa"/>
            <w:vAlign w:val="center"/>
          </w:tcPr>
          <w:p w:rsidR="0001135D" w:rsidRPr="0001135D" w:rsidRDefault="00E73D9B" w:rsidP="0001135D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:rsidR="0001135D" w:rsidRPr="0001135D" w:rsidRDefault="00E73D9B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:rsidR="0001135D" w:rsidRPr="0001135D" w:rsidRDefault="00E73D9B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:rsidR="0001135D" w:rsidRPr="0001135D" w:rsidRDefault="00E73D9B" w:rsidP="0001135D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:rsidR="0001135D" w:rsidRPr="0001135D" w:rsidRDefault="00E73D9B" w:rsidP="0001135D">
            <w:pPr>
              <w:jc w:val="center"/>
              <w:rPr>
                <w:b/>
              </w:rPr>
            </w:pPr>
            <w:proofErr w:type="spellStart"/>
            <w:r w:rsidRPr="0001135D">
              <w:rPr>
                <w:b/>
              </w:rPr>
              <w:t>Subkritéria</w:t>
            </w:r>
            <w:proofErr w:type="spellEnd"/>
          </w:p>
        </w:tc>
      </w:tr>
      <w:tr w:rsidR="00FD2F8B" w:rsidTr="004F22AD">
        <w:trPr>
          <w:cantSplit/>
          <w:trHeight w:val="407"/>
        </w:trPr>
        <w:tc>
          <w:tcPr>
            <w:tcW w:w="1758" w:type="dxa"/>
            <w:vAlign w:val="center"/>
          </w:tcPr>
          <w:p w:rsidR="0001135D" w:rsidRPr="0001135D" w:rsidRDefault="00E73D9B" w:rsidP="0001135D">
            <w:pPr>
              <w:keepNext/>
            </w:pPr>
            <w:r w:rsidRPr="0001135D">
              <w:t>K001</w:t>
            </w:r>
          </w:p>
        </w:tc>
        <w:tc>
          <w:tcPr>
            <w:tcW w:w="3174" w:type="dxa"/>
            <w:vAlign w:val="center"/>
          </w:tcPr>
          <w:p w:rsidR="0001135D" w:rsidRPr="0001135D" w:rsidRDefault="00E73D9B" w:rsidP="00017AD8"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:rsidR="0001135D" w:rsidRPr="0001135D" w:rsidRDefault="00E73D9B" w:rsidP="0001135D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:rsidR="0001135D" w:rsidRPr="0001135D" w:rsidRDefault="00E73D9B" w:rsidP="0001135D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:rsidR="0001135D" w:rsidRPr="0001135D" w:rsidRDefault="00E73D9B" w:rsidP="0001135D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:rsidR="0001135D" w:rsidRDefault="0001135D" w:rsidP="0070402B"/>
    <w:p w:rsidR="009C5920" w:rsidRDefault="00112540" w:rsidP="009C5920">
      <w:pPr>
        <w:keepNext/>
        <w:rPr>
          <w:bCs/>
        </w:rPr>
      </w:pPr>
      <w:r>
        <w:rPr>
          <w:bCs/>
        </w:rPr>
        <w:t>4</w:t>
      </w:r>
      <w:r w:rsidR="00E73D9B" w:rsidRPr="00712D07">
        <w:rPr>
          <w:bCs/>
        </w:rPr>
        <w:t>.1.</w:t>
      </w:r>
      <w:r>
        <w:rPr>
          <w:bCs/>
        </w:rPr>
        <w:t>2</w:t>
      </w:r>
      <w:r w:rsidR="00E73D9B" w:rsidRPr="00712D07">
        <w:rPr>
          <w:bCs/>
        </w:rPr>
        <w:t>.</w:t>
      </w:r>
      <w:r w:rsidR="00E73D9B" w:rsidRPr="00712D07">
        <w:rPr>
          <w:bCs/>
        </w:rPr>
        <w:tab/>
      </w:r>
      <w:r w:rsidR="00E73D9B">
        <w:t>Další informace</w:t>
      </w:r>
      <w:r w:rsidR="00E73D9B" w:rsidRPr="00712D07">
        <w:t xml:space="preserve"> u kritéria hodnocení </w:t>
      </w:r>
      <w:r w:rsidR="00E73D9B" w:rsidRPr="00712D07">
        <w:rPr>
          <w:bCs/>
        </w:rPr>
        <w:t>č. K001 - Nabídková cena</w:t>
      </w:r>
    </w:p>
    <w:p w:rsidR="009C5920" w:rsidRDefault="00E73D9B" w:rsidP="009C5920">
      <w:pPr>
        <w:keepNext/>
      </w:pPr>
      <w:r>
        <w:rPr>
          <w:bCs/>
        </w:rPr>
        <w:t>Pořadí nabídek bude sestaveno podle výše nabídkové ceny včetně DPH tak, že na prvním místě bude nabídka s nejnižší nabídkovou cenou a na dalších místech nabídky s vyšší cenou.</w:t>
      </w:r>
    </w:p>
    <w:p w:rsidR="00D62E85" w:rsidRDefault="00112540" w:rsidP="005D2EE8">
      <w:pPr>
        <w:keepNext/>
        <w:spacing w:before="240"/>
        <w:rPr>
          <w:b/>
          <w:bCs/>
          <w:iCs/>
        </w:rPr>
      </w:pPr>
      <w:proofErr w:type="gramStart"/>
      <w:r>
        <w:rPr>
          <w:b/>
          <w:bCs/>
          <w:iCs/>
        </w:rPr>
        <w:t>4</w:t>
      </w:r>
      <w:r w:rsidR="00E73D9B" w:rsidRPr="007E188C">
        <w:rPr>
          <w:b/>
          <w:bCs/>
          <w:iCs/>
        </w:rPr>
        <w:t>.2</w:t>
      </w:r>
      <w:proofErr w:type="gramEnd"/>
      <w:r w:rsidR="00E73D9B" w:rsidRPr="007E188C">
        <w:rPr>
          <w:b/>
          <w:bCs/>
          <w:iCs/>
        </w:rPr>
        <w:t>.</w:t>
      </w:r>
      <w:r w:rsidR="00E73D9B" w:rsidRPr="007E188C">
        <w:rPr>
          <w:b/>
          <w:bCs/>
          <w:iCs/>
        </w:rPr>
        <w:tab/>
        <w:t>Způsob hodnocení nabídek</w:t>
      </w:r>
    </w:p>
    <w:p w:rsidR="005D2EE8" w:rsidRPr="005D2EE8" w:rsidRDefault="005D2EE8" w:rsidP="005D2EE8">
      <w:pPr>
        <w:keepNext/>
        <w:rPr>
          <w:b/>
          <w:bCs/>
          <w:iCs/>
          <w:sz w:val="20"/>
          <w:szCs w:val="20"/>
        </w:rPr>
      </w:pPr>
    </w:p>
    <w:p w:rsidR="00970C2B" w:rsidRDefault="00112540" w:rsidP="00970C2B">
      <w:pPr>
        <w:keepNext/>
        <w:rPr>
          <w:bCs/>
        </w:rPr>
      </w:pPr>
      <w:r>
        <w:rPr>
          <w:bCs/>
        </w:rPr>
        <w:t>4</w:t>
      </w:r>
      <w:r w:rsidR="00E73D9B" w:rsidRPr="00712D07">
        <w:rPr>
          <w:bCs/>
        </w:rPr>
        <w:t>.2.1.</w:t>
      </w:r>
      <w:r w:rsidR="00E73D9B" w:rsidRPr="00712D07">
        <w:rPr>
          <w:bCs/>
        </w:rPr>
        <w:tab/>
      </w:r>
      <w:r w:rsidR="00E73D9B" w:rsidRPr="00712D07">
        <w:t xml:space="preserve">Způsob hodnocení u kritéria hodnocení </w:t>
      </w:r>
      <w:r w:rsidR="00E73D9B" w:rsidRPr="00712D07">
        <w:rPr>
          <w:bCs/>
        </w:rPr>
        <w:t>č. K001 - Nabídková cena</w:t>
      </w:r>
    </w:p>
    <w:p w:rsidR="00112540" w:rsidRPr="00712D07" w:rsidRDefault="00112540" w:rsidP="00112540">
      <w:pPr>
        <w:keepNext/>
      </w:pPr>
      <w:r w:rsidRPr="00712D07">
        <w:t xml:space="preserve">Hodnotícím kritériem je souhrnná cena - součet jednotkových cen u položek (v Kč) v rozsahu úkonů služby specifikovaných v návrhu Rámcové dohody včetně všech souvisejících nákladů - </w:t>
      </w:r>
      <w:proofErr w:type="gramStart"/>
      <w:r w:rsidRPr="00712D07">
        <w:t>viz. tabulka</w:t>
      </w:r>
      <w:proofErr w:type="gramEnd"/>
      <w:r w:rsidRPr="00712D07">
        <w:t xml:space="preserve"> cenové kalkulace (růžové políčko). Dodavatel dále povinně vyplní cenové údaje v návrhu Rámcové dohody, které budou brány jako rozhodné, jako výše nabídkové ceny při hodnocení nabídek. </w:t>
      </w:r>
    </w:p>
    <w:p w:rsidR="00970C2B" w:rsidRPr="00712D07" w:rsidRDefault="00112540" w:rsidP="00112540">
      <w:pPr>
        <w:keepNext/>
        <w:rPr>
          <w:i/>
        </w:rPr>
      </w:pPr>
      <w:r w:rsidRPr="008B7129">
        <w:t>Hodno</w:t>
      </w:r>
      <w:r>
        <w:t>cena bude nabídková cena s DPH.</w:t>
      </w:r>
    </w:p>
    <w:p w:rsidR="001125F0" w:rsidRDefault="00112540" w:rsidP="001125F0">
      <w:pPr>
        <w:spacing w:before="240" w:after="240"/>
        <w:rPr>
          <w:rFonts w:cs="Arial"/>
          <w:b/>
          <w:bCs/>
          <w:iCs/>
          <w:kern w:val="32"/>
          <w:szCs w:val="32"/>
        </w:rPr>
      </w:pPr>
      <w:proofErr w:type="gramStart"/>
      <w:r>
        <w:rPr>
          <w:rFonts w:cs="Arial"/>
          <w:b/>
          <w:bCs/>
          <w:iCs/>
          <w:kern w:val="32"/>
          <w:szCs w:val="32"/>
        </w:rPr>
        <w:t>4</w:t>
      </w:r>
      <w:r w:rsidR="00E73D9B" w:rsidRPr="0047190D">
        <w:rPr>
          <w:rFonts w:cs="Arial"/>
          <w:b/>
          <w:bCs/>
          <w:iCs/>
          <w:kern w:val="32"/>
          <w:szCs w:val="32"/>
        </w:rPr>
        <w:t>.3</w:t>
      </w:r>
      <w:proofErr w:type="gramEnd"/>
      <w:r w:rsidR="00E73D9B" w:rsidRPr="0047190D">
        <w:rPr>
          <w:rFonts w:cs="Arial"/>
          <w:b/>
          <w:bCs/>
          <w:iCs/>
          <w:kern w:val="32"/>
          <w:szCs w:val="32"/>
        </w:rPr>
        <w:t>.</w:t>
      </w:r>
      <w:r w:rsidR="00E73D9B" w:rsidRPr="0047190D">
        <w:rPr>
          <w:rFonts w:cs="Arial"/>
          <w:b/>
          <w:bCs/>
          <w:iCs/>
          <w:kern w:val="32"/>
          <w:szCs w:val="32"/>
        </w:rPr>
        <w:tab/>
        <w:t>Způsob stanovení pořadí</w:t>
      </w:r>
      <w:r>
        <w:rPr>
          <w:rFonts w:cs="Arial"/>
          <w:b/>
          <w:bCs/>
          <w:iCs/>
          <w:kern w:val="32"/>
          <w:szCs w:val="32"/>
        </w:rPr>
        <w:t xml:space="preserve"> </w:t>
      </w:r>
      <w:r w:rsidR="00E73D9B" w:rsidRPr="00644EE7">
        <w:rPr>
          <w:rFonts w:cs="Arial"/>
          <w:b/>
          <w:bCs/>
          <w:iCs/>
          <w:kern w:val="32"/>
          <w:szCs w:val="32"/>
        </w:rPr>
        <w:t>nabíd</w:t>
      </w:r>
      <w:r w:rsidR="00E73D9B">
        <w:rPr>
          <w:rFonts w:cs="Arial"/>
          <w:b/>
          <w:bCs/>
          <w:iCs/>
          <w:kern w:val="32"/>
          <w:szCs w:val="32"/>
        </w:rPr>
        <w:t>e</w:t>
      </w:r>
      <w:r w:rsidR="00E73D9B" w:rsidRPr="00644EE7">
        <w:rPr>
          <w:rFonts w:cs="Arial"/>
          <w:b/>
          <w:bCs/>
          <w:iCs/>
          <w:kern w:val="32"/>
          <w:szCs w:val="32"/>
        </w:rPr>
        <w:t>k</w:t>
      </w:r>
    </w:p>
    <w:p w:rsidR="001125F0" w:rsidRPr="001125F0" w:rsidRDefault="00E73D9B" w:rsidP="001125F0">
      <w:r w:rsidRPr="009A5210">
        <w:rPr>
          <w:bCs/>
        </w:rPr>
        <w:t>Pořadí nabídek bude stanoveno na základě následujícího vzorce:</w:t>
      </w:r>
    </w:p>
    <w:p w:rsidR="001125F0" w:rsidRDefault="00E73D9B" w:rsidP="001125F0">
      <w:pPr>
        <w:ind w:firstLine="708"/>
      </w:pPr>
      <w:r w:rsidRPr="009A5210">
        <w:t>K001 * 1</w:t>
      </w:r>
    </w:p>
    <w:p w:rsidR="00CD4456" w:rsidRDefault="00CD4456" w:rsidP="001125F0">
      <w:pPr>
        <w:ind w:firstLine="708"/>
      </w:pPr>
    </w:p>
    <w:p w:rsidR="00112540" w:rsidRDefault="00112540" w:rsidP="001125F0">
      <w:pPr>
        <w:ind w:firstLine="708"/>
      </w:pPr>
    </w:p>
    <w:p w:rsidR="00112540" w:rsidRDefault="00112540" w:rsidP="001125F0">
      <w:pPr>
        <w:ind w:firstLine="708"/>
      </w:pPr>
    </w:p>
    <w:p w:rsidR="008510CE" w:rsidRPr="00CD6F28" w:rsidRDefault="008510CE" w:rsidP="008510CE">
      <w:pPr>
        <w:rPr>
          <w:color w:val="E36C0A"/>
          <w:sz w:val="2"/>
          <w:u w:val="single"/>
        </w:rPr>
      </w:pPr>
    </w:p>
    <w:p w:rsidR="008510CE" w:rsidRPr="00781C9B" w:rsidRDefault="008510CE" w:rsidP="005434A8">
      <w:pPr>
        <w:widowControl w:val="0"/>
        <w:ind w:right="-108"/>
        <w:rPr>
          <w:color w:val="E36C0A"/>
          <w:sz w:val="2"/>
          <w:u w:val="single"/>
        </w:rPr>
      </w:pPr>
    </w:p>
    <w:p w:rsidR="00112540" w:rsidRDefault="00112540" w:rsidP="00112540">
      <w:pPr>
        <w:pStyle w:val="Nadpis1"/>
      </w:pPr>
      <w:bookmarkStart w:id="3" w:name="_Toc350412557"/>
      <w:r>
        <w:lastRenderedPageBreak/>
        <w:t>5</w:t>
      </w:r>
      <w:r w:rsidRPr="00AA431B">
        <w:t>.</w:t>
      </w:r>
      <w:r w:rsidRPr="00AA431B">
        <w:tab/>
      </w:r>
      <w:r w:rsidRPr="00C160F8">
        <w:t>Kvalifika</w:t>
      </w:r>
      <w:r>
        <w:t>ce</w:t>
      </w:r>
      <w:bookmarkEnd w:id="3"/>
    </w:p>
    <w:p w:rsidR="00112540" w:rsidRPr="00620F75" w:rsidRDefault="00112540" w:rsidP="00112540">
      <w:pPr>
        <w:tabs>
          <w:tab w:val="left" w:pos="709"/>
        </w:tabs>
        <w:rPr>
          <w:sz w:val="6"/>
          <w:szCs w:val="12"/>
        </w:rPr>
      </w:pPr>
    </w:p>
    <w:p w:rsidR="00112540" w:rsidRDefault="00112540" w:rsidP="00112540">
      <w:pPr>
        <w:tabs>
          <w:tab w:val="left" w:pos="709"/>
        </w:tabs>
      </w:pPr>
    </w:p>
    <w:p w:rsidR="00112540" w:rsidRDefault="00112540" w:rsidP="00112540">
      <w:pPr>
        <w:pStyle w:val="Nadpis2"/>
        <w:tabs>
          <w:tab w:val="left" w:pos="993"/>
        </w:tabs>
        <w:spacing w:before="0" w:after="0"/>
        <w:ind w:left="408" w:hanging="408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5.1</w:t>
      </w:r>
      <w:proofErr w:type="gramEnd"/>
      <w:r>
        <w:rPr>
          <w:rFonts w:cs="Times New Roman"/>
          <w:szCs w:val="24"/>
        </w:rPr>
        <w:t>.</w:t>
      </w:r>
      <w:r>
        <w:rPr>
          <w:rFonts w:cs="Times New Roman"/>
          <w:szCs w:val="24"/>
        </w:rPr>
        <w:tab/>
      </w:r>
      <w:r w:rsidRPr="0075060D">
        <w:rPr>
          <w:rFonts w:cs="Times New Roman"/>
          <w:szCs w:val="24"/>
        </w:rPr>
        <w:t xml:space="preserve">Profesní </w:t>
      </w:r>
      <w:r>
        <w:rPr>
          <w:rFonts w:cs="Times New Roman"/>
          <w:szCs w:val="24"/>
        </w:rPr>
        <w:t xml:space="preserve">způsobilost </w:t>
      </w:r>
      <w:r w:rsidRPr="00CD710B">
        <w:rPr>
          <w:rFonts w:cs="Times New Roman"/>
          <w:szCs w:val="24"/>
        </w:rPr>
        <w:t xml:space="preserve">dle § </w:t>
      </w:r>
      <w:r>
        <w:rPr>
          <w:rFonts w:cs="Times New Roman"/>
          <w:szCs w:val="24"/>
        </w:rPr>
        <w:t>77</w:t>
      </w:r>
      <w:r w:rsidRPr="008531D5">
        <w:rPr>
          <w:rFonts w:cs="Times New Roman"/>
          <w:szCs w:val="24"/>
        </w:rPr>
        <w:t>ZZVZ</w:t>
      </w:r>
    </w:p>
    <w:p w:rsidR="00112540" w:rsidRDefault="00112540" w:rsidP="00112540">
      <w:pPr>
        <w:keepNext/>
        <w:autoSpaceDE w:val="0"/>
        <w:autoSpaceDN w:val="0"/>
        <w:adjustRightInd w:val="0"/>
        <w:rPr>
          <w:b/>
        </w:rPr>
      </w:pPr>
    </w:p>
    <w:p w:rsidR="00112540" w:rsidRDefault="00112540" w:rsidP="00112540">
      <w:pPr>
        <w:keepNext/>
        <w:autoSpaceDE w:val="0"/>
        <w:autoSpaceDN w:val="0"/>
        <w:adjustRightInd w:val="0"/>
        <w:jc w:val="both"/>
        <w:rPr>
          <w:b/>
        </w:rPr>
      </w:pPr>
      <w:r w:rsidRPr="00FF5112">
        <w:rPr>
          <w:b/>
        </w:rPr>
        <w:t xml:space="preserve">Profesní kvalifikační </w:t>
      </w:r>
      <w:r>
        <w:rPr>
          <w:b/>
        </w:rPr>
        <w:t xml:space="preserve">předpoklad </w:t>
      </w:r>
      <w:r w:rsidRPr="00B2275F">
        <w:rPr>
          <w:b/>
        </w:rPr>
        <w:t>dle § 77 odst. 1 ZZVZ:</w:t>
      </w:r>
      <w:r>
        <w:rPr>
          <w:b/>
        </w:rPr>
        <w:t xml:space="preserve"> </w:t>
      </w:r>
      <w:r w:rsidRPr="0075060D">
        <w:t>Výpis z obchodního rejstříku nebo jiné obdobné evidence, pokud jiný právní předpis zápis do takové evidence vyžaduje.</w:t>
      </w:r>
    </w:p>
    <w:p w:rsidR="00112540" w:rsidRDefault="00112540" w:rsidP="00112540">
      <w:pPr>
        <w:autoSpaceDE w:val="0"/>
        <w:autoSpaceDN w:val="0"/>
        <w:adjustRightInd w:val="0"/>
        <w:jc w:val="both"/>
        <w:rPr>
          <w:b/>
          <w:bCs/>
        </w:rPr>
      </w:pPr>
    </w:p>
    <w:p w:rsidR="00112540" w:rsidRPr="00653A03" w:rsidRDefault="00112540" w:rsidP="00112540">
      <w:pPr>
        <w:keepNext/>
        <w:autoSpaceDE w:val="0"/>
        <w:autoSpaceDN w:val="0"/>
        <w:adjustRightInd w:val="0"/>
        <w:jc w:val="both"/>
        <w:rPr>
          <w:bCs/>
        </w:rPr>
      </w:pPr>
      <w:r w:rsidRPr="00653A03">
        <w:rPr>
          <w:bCs/>
        </w:rPr>
        <w:t>Způsob prokázání:</w:t>
      </w:r>
    </w:p>
    <w:p w:rsidR="00112540" w:rsidRDefault="00112540" w:rsidP="00112540">
      <w:pPr>
        <w:jc w:val="both"/>
      </w:pPr>
      <w:r w:rsidRPr="0075060D">
        <w:rPr>
          <w:bCs/>
        </w:rPr>
        <w:t xml:space="preserve">Elektronický obraz výpisu z OR ne starší 90 dnů, je-li účastník v OR zapsán, vložte jako přílohu k nabídce. </w:t>
      </w:r>
    </w:p>
    <w:p w:rsidR="00112540" w:rsidRDefault="00112540" w:rsidP="00112540">
      <w:pPr>
        <w:keepNext/>
        <w:autoSpaceDE w:val="0"/>
        <w:autoSpaceDN w:val="0"/>
        <w:adjustRightInd w:val="0"/>
        <w:jc w:val="both"/>
        <w:rPr>
          <w:b/>
        </w:rPr>
      </w:pPr>
    </w:p>
    <w:p w:rsidR="00112540" w:rsidRDefault="00112540" w:rsidP="00112540">
      <w:pPr>
        <w:keepNext/>
        <w:autoSpaceDE w:val="0"/>
        <w:autoSpaceDN w:val="0"/>
        <w:adjustRightInd w:val="0"/>
        <w:jc w:val="both"/>
        <w:rPr>
          <w:b/>
        </w:rPr>
      </w:pPr>
      <w:r w:rsidRPr="00FF5112">
        <w:rPr>
          <w:b/>
        </w:rPr>
        <w:t xml:space="preserve">Profesní kvalifikační </w:t>
      </w:r>
      <w:r>
        <w:rPr>
          <w:b/>
        </w:rPr>
        <w:t xml:space="preserve">předpoklad </w:t>
      </w:r>
      <w:r w:rsidRPr="00B2275F">
        <w:rPr>
          <w:b/>
        </w:rPr>
        <w:t>dle § 77 odst. 2 písm. a) ZZVZ:</w:t>
      </w:r>
      <w:r>
        <w:rPr>
          <w:b/>
        </w:rPr>
        <w:t xml:space="preserve"> </w:t>
      </w:r>
      <w:r w:rsidRPr="0075060D">
        <w:t>Doklad o oprávnění k podnikání v rozsahu odpovídajícímu předmětu veřejné zakázky, pokud jiné právní předpisy takové oprávnění vyžadují.</w:t>
      </w:r>
    </w:p>
    <w:p w:rsidR="00112540" w:rsidRDefault="00112540" w:rsidP="00112540">
      <w:pPr>
        <w:autoSpaceDE w:val="0"/>
        <w:autoSpaceDN w:val="0"/>
        <w:adjustRightInd w:val="0"/>
        <w:jc w:val="both"/>
        <w:rPr>
          <w:b/>
          <w:bCs/>
        </w:rPr>
      </w:pPr>
    </w:p>
    <w:p w:rsidR="00112540" w:rsidRPr="00653A03" w:rsidRDefault="00112540" w:rsidP="00112540">
      <w:pPr>
        <w:keepNext/>
        <w:autoSpaceDE w:val="0"/>
        <w:autoSpaceDN w:val="0"/>
        <w:adjustRightInd w:val="0"/>
        <w:jc w:val="both"/>
        <w:rPr>
          <w:bCs/>
        </w:rPr>
      </w:pPr>
      <w:r w:rsidRPr="00653A03">
        <w:rPr>
          <w:bCs/>
        </w:rPr>
        <w:t>Způsob prokázání:</w:t>
      </w:r>
    </w:p>
    <w:p w:rsidR="00112540" w:rsidRDefault="00112540" w:rsidP="00112540">
      <w:pPr>
        <w:jc w:val="both"/>
      </w:pPr>
      <w:r w:rsidRPr="0075060D">
        <w:rPr>
          <w:bCs/>
        </w:rPr>
        <w:t xml:space="preserve">Elektronický obraz výpisu ze živnostenského rejstříku ne starší 90 dnů, který musí obsahovat předmět podnikání v rozsahu předmětu této VZMR vložte jako přílohu k nabídce. </w:t>
      </w:r>
    </w:p>
    <w:p w:rsidR="00112540" w:rsidRPr="00620F75" w:rsidRDefault="00112540" w:rsidP="00112540">
      <w:pPr>
        <w:jc w:val="both"/>
        <w:rPr>
          <w:sz w:val="6"/>
          <w:szCs w:val="18"/>
        </w:rPr>
      </w:pPr>
    </w:p>
    <w:p w:rsidR="00112540" w:rsidRDefault="00112540" w:rsidP="00112540">
      <w:pPr>
        <w:jc w:val="both"/>
      </w:pPr>
    </w:p>
    <w:p w:rsidR="00112540" w:rsidRDefault="00112540" w:rsidP="00112540">
      <w:pPr>
        <w:keepNext/>
        <w:tabs>
          <w:tab w:val="left" w:pos="993"/>
        </w:tabs>
        <w:spacing w:before="360" w:after="240"/>
        <w:ind w:left="408" w:hanging="408"/>
        <w:jc w:val="both"/>
        <w:outlineLvl w:val="1"/>
      </w:pPr>
      <w:proofErr w:type="gramStart"/>
      <w:r>
        <w:rPr>
          <w:rFonts w:cs="Arial"/>
          <w:b/>
          <w:bCs/>
          <w:iCs/>
          <w:szCs w:val="28"/>
        </w:rPr>
        <w:t>5</w:t>
      </w:r>
      <w:r w:rsidRPr="004D7205">
        <w:rPr>
          <w:rFonts w:cs="Arial"/>
          <w:b/>
          <w:bCs/>
          <w:iCs/>
          <w:szCs w:val="28"/>
        </w:rPr>
        <w:t>.2</w:t>
      </w:r>
      <w:proofErr w:type="gramEnd"/>
      <w:r w:rsidRPr="004D7205">
        <w:rPr>
          <w:rFonts w:cs="Arial"/>
          <w:b/>
          <w:bCs/>
          <w:iCs/>
          <w:szCs w:val="28"/>
        </w:rPr>
        <w:t>.</w:t>
      </w:r>
      <w:r w:rsidRPr="004D7205">
        <w:rPr>
          <w:rFonts w:cs="Arial"/>
          <w:b/>
          <w:bCs/>
          <w:iCs/>
          <w:szCs w:val="28"/>
        </w:rPr>
        <w:tab/>
      </w:r>
      <w:r w:rsidRPr="00EC2E7B">
        <w:rPr>
          <w:rFonts w:cs="Arial"/>
          <w:b/>
          <w:bCs/>
          <w:iCs/>
          <w:szCs w:val="28"/>
        </w:rPr>
        <w:t xml:space="preserve">Další </w:t>
      </w:r>
      <w:r w:rsidRPr="00EC2E7B">
        <w:rPr>
          <w:b/>
        </w:rPr>
        <w:t>požadavky na kvalifikaci</w:t>
      </w:r>
    </w:p>
    <w:p w:rsidR="00112540" w:rsidRDefault="00112540" w:rsidP="00112540">
      <w:pPr>
        <w:widowControl w:val="0"/>
        <w:jc w:val="both"/>
      </w:pPr>
      <w:r w:rsidRPr="004D7205">
        <w:t xml:space="preserve">Dodavatel může vždy nahradit požadované doklady jednotným evropským osvědčením pro veřejné zakázky. Dodavatel není povinen předložit zadavateli doklady osvědčující skutečnosti obsažené v jednotném evropském osvědčení pro veřejné zakázky, pokud zadavateli sdělí, že mu je již předložil v předchozím zadávacím řízení. </w:t>
      </w:r>
    </w:p>
    <w:p w:rsidR="00112540" w:rsidRDefault="00112540" w:rsidP="00112540">
      <w:pPr>
        <w:widowControl w:val="0"/>
        <w:jc w:val="both"/>
      </w:pPr>
    </w:p>
    <w:p w:rsidR="00112540" w:rsidRDefault="00112540" w:rsidP="00112540">
      <w:pPr>
        <w:widowControl w:val="0"/>
        <w:jc w:val="both"/>
      </w:pPr>
      <w:r w:rsidRPr="004D7205">
        <w:t xml:space="preserve"> Dodavatel může prokázat splnění základní způsobilosti podle § 74 nebo profesní způsobilosti podle § 77 v tom rozsahu, v jakém údaje ve výpisu ze systému kvalifikovaných dodavatelů prokazují splnění těchto kritérií, předložením výpisu ze seznamu kvalifikovaných dodavatelů. </w:t>
      </w:r>
    </w:p>
    <w:p w:rsidR="00112540" w:rsidRDefault="00112540" w:rsidP="00112540">
      <w:pPr>
        <w:widowControl w:val="0"/>
        <w:jc w:val="both"/>
      </w:pPr>
      <w:r w:rsidRPr="004D7205">
        <w:br/>
        <w:t xml:space="preserve"> Platným certifikátem vydaným v rámci schváleného systému certifikovaných dodavatelů lze prokázat kvalifikaci dodavatele v rozsahu uvedeném v certifikátu. </w:t>
      </w:r>
    </w:p>
    <w:p w:rsidR="00112540" w:rsidRDefault="00112540" w:rsidP="00112540">
      <w:pPr>
        <w:widowControl w:val="0"/>
        <w:jc w:val="both"/>
        <w:rPr>
          <w:rFonts w:cs="Arial"/>
          <w:b/>
          <w:bCs/>
          <w:iCs/>
          <w:szCs w:val="28"/>
        </w:rPr>
      </w:pPr>
    </w:p>
    <w:p w:rsidR="00112540" w:rsidRPr="00DB7D02" w:rsidRDefault="00112540" w:rsidP="00112540">
      <w:pPr>
        <w:widowControl w:val="0"/>
        <w:jc w:val="both"/>
        <w:rPr>
          <w:rFonts w:cs="Arial"/>
          <w:b/>
          <w:bCs/>
          <w:iCs/>
          <w:szCs w:val="28"/>
        </w:rPr>
      </w:pPr>
      <w:proofErr w:type="gramStart"/>
      <w:r>
        <w:rPr>
          <w:rFonts w:cs="Arial"/>
          <w:b/>
          <w:bCs/>
          <w:iCs/>
          <w:szCs w:val="28"/>
        </w:rPr>
        <w:t>5</w:t>
      </w:r>
      <w:r w:rsidRPr="00DB7D02">
        <w:rPr>
          <w:rFonts w:cs="Arial"/>
          <w:b/>
          <w:bCs/>
          <w:iCs/>
          <w:szCs w:val="28"/>
        </w:rPr>
        <w:t>.3</w:t>
      </w:r>
      <w:proofErr w:type="gramEnd"/>
      <w:r w:rsidRPr="00DB7D02">
        <w:rPr>
          <w:rFonts w:cs="Arial"/>
          <w:b/>
          <w:bCs/>
          <w:iCs/>
          <w:szCs w:val="28"/>
        </w:rPr>
        <w:t>.</w:t>
      </w:r>
      <w:r w:rsidRPr="00DB7D02">
        <w:rPr>
          <w:rFonts w:cs="Arial"/>
          <w:b/>
          <w:bCs/>
          <w:iCs/>
          <w:szCs w:val="28"/>
        </w:rPr>
        <w:tab/>
        <w:t>Pravost dokladů</w:t>
      </w:r>
    </w:p>
    <w:p w:rsidR="00112540" w:rsidRDefault="00112540" w:rsidP="00112540">
      <w:pPr>
        <w:jc w:val="both"/>
      </w:pPr>
      <w:r>
        <w:t xml:space="preserve">Dodavatel předkládá doklady o kvalifikaci v kopii. Zadavatel může postupem podle § 46 odst. 1 požadovat předložení originálu nebo ověřené kopie dokladu. </w:t>
      </w:r>
    </w:p>
    <w:p w:rsidR="00112540" w:rsidRDefault="00112540" w:rsidP="00112540">
      <w:pPr>
        <w:jc w:val="both"/>
        <w:rPr>
          <w:rFonts w:cs="Arial"/>
          <w:b/>
          <w:bCs/>
          <w:iCs/>
          <w:szCs w:val="28"/>
        </w:rPr>
      </w:pPr>
      <w:r>
        <w:br/>
        <w:t xml:space="preserve">Pokud zadavatel vyžaduje předložení dokladu a dodavatel není z důvodů, které mu nelze přičítat, schopen předložit požadovaný doklad, může dodavatel předložit jiný rovnocenný doklad. </w:t>
      </w:r>
      <w:r>
        <w:br/>
      </w:r>
    </w:p>
    <w:p w:rsidR="00112540" w:rsidRPr="00FF6351" w:rsidRDefault="00112540" w:rsidP="00112540">
      <w:pPr>
        <w:jc w:val="both"/>
        <w:rPr>
          <w:rFonts w:cs="Arial"/>
          <w:b/>
          <w:bCs/>
          <w:iCs/>
          <w:szCs w:val="28"/>
        </w:rPr>
      </w:pPr>
      <w:proofErr w:type="gramStart"/>
      <w:r>
        <w:rPr>
          <w:rFonts w:cs="Arial"/>
          <w:b/>
          <w:bCs/>
          <w:iCs/>
          <w:szCs w:val="28"/>
        </w:rPr>
        <w:t>5</w:t>
      </w:r>
      <w:r w:rsidRPr="00FF6351">
        <w:rPr>
          <w:rFonts w:cs="Arial"/>
          <w:b/>
          <w:bCs/>
          <w:iCs/>
          <w:szCs w:val="28"/>
        </w:rPr>
        <w:t>.4</w:t>
      </w:r>
      <w:proofErr w:type="gramEnd"/>
      <w:r w:rsidRPr="00FF6351">
        <w:rPr>
          <w:rFonts w:cs="Arial"/>
          <w:b/>
          <w:bCs/>
          <w:iCs/>
          <w:szCs w:val="28"/>
        </w:rPr>
        <w:t>.</w:t>
      </w:r>
      <w:r w:rsidRPr="00FF6351">
        <w:rPr>
          <w:rFonts w:cs="Arial"/>
          <w:b/>
          <w:bCs/>
          <w:iCs/>
          <w:szCs w:val="28"/>
        </w:rPr>
        <w:tab/>
        <w:t>Prokazování kvalifikačních předpokladů prostřednictvím SKD a SCD</w:t>
      </w:r>
    </w:p>
    <w:p w:rsidR="00112540" w:rsidRPr="00FF6351" w:rsidRDefault="00112540" w:rsidP="00112540">
      <w:pPr>
        <w:autoSpaceDE w:val="0"/>
        <w:autoSpaceDN w:val="0"/>
        <w:adjustRightInd w:val="0"/>
        <w:jc w:val="both"/>
        <w:rPr>
          <w:bCs/>
        </w:rPr>
      </w:pPr>
      <w:r w:rsidRPr="00FF6351">
        <w:rPr>
          <w:bCs/>
        </w:rPr>
        <w:t>Dodavatel může prostřednictvím výpisu ze seznamu kvalifikovaných dodavatelů (dále jen „SKD“) prokáz</w:t>
      </w:r>
      <w:r>
        <w:rPr>
          <w:bCs/>
        </w:rPr>
        <w:t>at základní způsobilost podle</w:t>
      </w:r>
      <w:r w:rsidRPr="00155538">
        <w:rPr>
          <w:bCs/>
        </w:rPr>
        <w:t> </w:t>
      </w:r>
      <w:r>
        <w:rPr>
          <w:bCs/>
        </w:rPr>
        <w:t>§</w:t>
      </w:r>
      <w:r w:rsidRPr="00155538">
        <w:rPr>
          <w:bCs/>
        </w:rPr>
        <w:t> </w:t>
      </w:r>
      <w:r>
        <w:rPr>
          <w:bCs/>
        </w:rPr>
        <w:t>74</w:t>
      </w:r>
      <w:r w:rsidRPr="00155538">
        <w:rPr>
          <w:bCs/>
        </w:rPr>
        <w:t> </w:t>
      </w:r>
      <w:r w:rsidRPr="00FF6351">
        <w:rPr>
          <w:bCs/>
        </w:rPr>
        <w:t>ZZ</w:t>
      </w:r>
      <w:r>
        <w:rPr>
          <w:bCs/>
        </w:rPr>
        <w:t>VZ a profesní způsobilost podle</w:t>
      </w:r>
      <w:r w:rsidRPr="00155538">
        <w:rPr>
          <w:bCs/>
        </w:rPr>
        <w:t> </w:t>
      </w:r>
      <w:r>
        <w:rPr>
          <w:bCs/>
        </w:rPr>
        <w:t>§</w:t>
      </w:r>
      <w:r w:rsidRPr="00155538">
        <w:rPr>
          <w:bCs/>
        </w:rPr>
        <w:t> </w:t>
      </w:r>
      <w:r>
        <w:rPr>
          <w:bCs/>
        </w:rPr>
        <w:t>77</w:t>
      </w:r>
      <w:r w:rsidRPr="00155538">
        <w:rPr>
          <w:bCs/>
        </w:rPr>
        <w:t> </w:t>
      </w:r>
      <w:r>
        <w:rPr>
          <w:bCs/>
        </w:rPr>
        <w:t>ZZVZ v</w:t>
      </w:r>
      <w:r w:rsidRPr="00155538">
        <w:rPr>
          <w:bCs/>
        </w:rPr>
        <w:t> </w:t>
      </w:r>
      <w:r>
        <w:rPr>
          <w:bCs/>
        </w:rPr>
        <w:t>tom rozsahu, v</w:t>
      </w:r>
      <w:r w:rsidRPr="00155538">
        <w:rPr>
          <w:bCs/>
        </w:rPr>
        <w:t> </w:t>
      </w:r>
      <w:r w:rsidRPr="00FF6351">
        <w:rPr>
          <w:bCs/>
        </w:rPr>
        <w:t>jakém úd</w:t>
      </w:r>
      <w:r>
        <w:rPr>
          <w:bCs/>
        </w:rPr>
        <w:t>aje ve</w:t>
      </w:r>
      <w:r w:rsidRPr="00155538">
        <w:rPr>
          <w:bCs/>
        </w:rPr>
        <w:t> </w:t>
      </w:r>
      <w:proofErr w:type="gramStart"/>
      <w:r>
        <w:rPr>
          <w:bCs/>
        </w:rPr>
        <w:t>výpisu z</w:t>
      </w:r>
      <w:r w:rsidRPr="00155538">
        <w:rPr>
          <w:bCs/>
        </w:rPr>
        <w:t> </w:t>
      </w:r>
      <w:r w:rsidRPr="00FF6351">
        <w:rPr>
          <w:bCs/>
        </w:rPr>
        <w:t>SKD</w:t>
      </w:r>
      <w:proofErr w:type="gramEnd"/>
      <w:r w:rsidRPr="00FF6351">
        <w:rPr>
          <w:bCs/>
        </w:rPr>
        <w:t xml:space="preserve"> prokazují splnění k</w:t>
      </w:r>
      <w:r>
        <w:rPr>
          <w:bCs/>
        </w:rPr>
        <w:t>ritérií profesní způsobilosti.</w:t>
      </w:r>
    </w:p>
    <w:p w:rsidR="00112540" w:rsidRPr="00FF6351" w:rsidRDefault="00112540" w:rsidP="00112540">
      <w:pPr>
        <w:ind w:right="-108"/>
        <w:jc w:val="both"/>
        <w:rPr>
          <w:bCs/>
          <w:highlight w:val="yellow"/>
        </w:rPr>
      </w:pPr>
    </w:p>
    <w:p w:rsidR="00112540" w:rsidRPr="00FF6351" w:rsidRDefault="00112540" w:rsidP="0011254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Zadavatel přijme výpis z</w:t>
      </w:r>
      <w:r w:rsidRPr="00155538">
        <w:rPr>
          <w:bCs/>
        </w:rPr>
        <w:t> </w:t>
      </w:r>
      <w:r>
        <w:rPr>
          <w:bCs/>
        </w:rPr>
        <w:t>SKD, pokud k</w:t>
      </w:r>
      <w:r w:rsidRPr="00155538">
        <w:rPr>
          <w:bCs/>
        </w:rPr>
        <w:t> </w:t>
      </w:r>
      <w:r>
        <w:rPr>
          <w:bCs/>
        </w:rPr>
        <w:t>poslednímu dni, ke</w:t>
      </w:r>
      <w:r w:rsidRPr="00155538">
        <w:rPr>
          <w:bCs/>
        </w:rPr>
        <w:t> </w:t>
      </w:r>
      <w:r w:rsidRPr="00FF6351">
        <w:rPr>
          <w:bCs/>
        </w:rPr>
        <w:t>kterému má být prokázána základní způsobilost nebo pro</w:t>
      </w:r>
      <w:r>
        <w:rPr>
          <w:bCs/>
        </w:rPr>
        <w:t xml:space="preserve">fesní způsobilost, není </w:t>
      </w:r>
      <w:proofErr w:type="gramStart"/>
      <w:r>
        <w:rPr>
          <w:bCs/>
        </w:rPr>
        <w:t>výpis z</w:t>
      </w:r>
      <w:r w:rsidRPr="00155538">
        <w:rPr>
          <w:bCs/>
        </w:rPr>
        <w:t> </w:t>
      </w:r>
      <w:r>
        <w:rPr>
          <w:bCs/>
        </w:rPr>
        <w:t>SKD</w:t>
      </w:r>
      <w:proofErr w:type="gramEnd"/>
      <w:r>
        <w:rPr>
          <w:bCs/>
        </w:rPr>
        <w:t xml:space="preserve"> starší než 3</w:t>
      </w:r>
      <w:r w:rsidRPr="00155538">
        <w:rPr>
          <w:bCs/>
        </w:rPr>
        <w:t> </w:t>
      </w:r>
      <w:r w:rsidRPr="00FF6351">
        <w:rPr>
          <w:bCs/>
        </w:rPr>
        <w:t>měsíce. Zadavatel nemus</w:t>
      </w:r>
      <w:r>
        <w:rPr>
          <w:bCs/>
        </w:rPr>
        <w:t xml:space="preserve">í přijmout </w:t>
      </w:r>
      <w:proofErr w:type="gramStart"/>
      <w:r>
        <w:rPr>
          <w:bCs/>
        </w:rPr>
        <w:t>výpis z</w:t>
      </w:r>
      <w:r w:rsidRPr="00155538">
        <w:rPr>
          <w:bCs/>
        </w:rPr>
        <w:t> </w:t>
      </w:r>
      <w:r>
        <w:rPr>
          <w:bCs/>
        </w:rPr>
        <w:t>SKD</w:t>
      </w:r>
      <w:proofErr w:type="gramEnd"/>
      <w:r>
        <w:rPr>
          <w:bCs/>
        </w:rPr>
        <w:t>, na</w:t>
      </w:r>
      <w:r w:rsidRPr="00155538">
        <w:rPr>
          <w:bCs/>
        </w:rPr>
        <w:t> </w:t>
      </w:r>
      <w:r w:rsidRPr="00FF6351">
        <w:rPr>
          <w:bCs/>
        </w:rPr>
        <w:t xml:space="preserve">kterém je </w:t>
      </w:r>
      <w:r>
        <w:rPr>
          <w:bCs/>
        </w:rPr>
        <w:t>vyznačeno zahájení řízení podle</w:t>
      </w:r>
      <w:r w:rsidRPr="00155538">
        <w:rPr>
          <w:bCs/>
        </w:rPr>
        <w:t> </w:t>
      </w:r>
      <w:r>
        <w:rPr>
          <w:bCs/>
        </w:rPr>
        <w:t>§</w:t>
      </w:r>
      <w:r w:rsidRPr="00155538">
        <w:rPr>
          <w:bCs/>
        </w:rPr>
        <w:t> </w:t>
      </w:r>
      <w:r>
        <w:rPr>
          <w:bCs/>
        </w:rPr>
        <w:t>231</w:t>
      </w:r>
      <w:r w:rsidRPr="00155538">
        <w:rPr>
          <w:bCs/>
        </w:rPr>
        <w:t> </w:t>
      </w:r>
      <w:r>
        <w:rPr>
          <w:bCs/>
        </w:rPr>
        <w:t>odst.</w:t>
      </w:r>
      <w:r w:rsidRPr="00155538">
        <w:rPr>
          <w:bCs/>
        </w:rPr>
        <w:t xml:space="preserve">  </w:t>
      </w:r>
      <w:r>
        <w:rPr>
          <w:bCs/>
        </w:rPr>
        <w:t>4</w:t>
      </w:r>
      <w:r w:rsidRPr="00155538">
        <w:rPr>
          <w:bCs/>
        </w:rPr>
        <w:t xml:space="preserve">  </w:t>
      </w:r>
      <w:r w:rsidRPr="00FF6351">
        <w:rPr>
          <w:bCs/>
        </w:rPr>
        <w:t>ZZVZ.</w:t>
      </w:r>
    </w:p>
    <w:p w:rsidR="00112540" w:rsidRPr="00FF6351" w:rsidRDefault="00112540" w:rsidP="00112540">
      <w:pPr>
        <w:autoSpaceDE w:val="0"/>
        <w:autoSpaceDN w:val="0"/>
        <w:adjustRightInd w:val="0"/>
        <w:jc w:val="both"/>
        <w:rPr>
          <w:bCs/>
          <w:highlight w:val="yellow"/>
        </w:rPr>
      </w:pPr>
    </w:p>
    <w:p w:rsidR="00112540" w:rsidRPr="00FF6351" w:rsidRDefault="00112540" w:rsidP="0011254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Stejně jako výpis z</w:t>
      </w:r>
      <w:r w:rsidRPr="00155538">
        <w:rPr>
          <w:bCs/>
        </w:rPr>
        <w:t> </w:t>
      </w:r>
      <w:r w:rsidRPr="00FF6351">
        <w:rPr>
          <w:bCs/>
        </w:rPr>
        <w:t>SKD může dodavatel prokázat kvalifikaci osvědčením, které pochází z</w:t>
      </w:r>
      <w:r w:rsidRPr="00155538">
        <w:rPr>
          <w:bCs/>
        </w:rPr>
        <w:t> </w:t>
      </w:r>
      <w:r>
        <w:rPr>
          <w:bCs/>
        </w:rPr>
        <w:t>jiného členského státu, v</w:t>
      </w:r>
      <w:r w:rsidRPr="00155538">
        <w:rPr>
          <w:bCs/>
        </w:rPr>
        <w:t> </w:t>
      </w:r>
      <w:r>
        <w:rPr>
          <w:bCs/>
        </w:rPr>
        <w:t>němž má dodavatel sídlo, a</w:t>
      </w:r>
      <w:r w:rsidRPr="00155538">
        <w:rPr>
          <w:bCs/>
        </w:rPr>
        <w:t> </w:t>
      </w:r>
      <w:r w:rsidRPr="00FF6351">
        <w:rPr>
          <w:bCs/>
        </w:rPr>
        <w:t xml:space="preserve">které je obdobou </w:t>
      </w:r>
      <w:proofErr w:type="gramStart"/>
      <w:r w:rsidRPr="00FF6351">
        <w:rPr>
          <w:bCs/>
        </w:rPr>
        <w:t>výpisu z</w:t>
      </w:r>
      <w:r w:rsidRPr="00155538">
        <w:rPr>
          <w:bCs/>
        </w:rPr>
        <w:t> </w:t>
      </w:r>
      <w:r w:rsidRPr="00FF6351">
        <w:rPr>
          <w:bCs/>
        </w:rPr>
        <w:t>SKD</w:t>
      </w:r>
      <w:proofErr w:type="gramEnd"/>
      <w:r w:rsidRPr="00FF6351">
        <w:rPr>
          <w:bCs/>
        </w:rPr>
        <w:t>.</w:t>
      </w:r>
    </w:p>
    <w:p w:rsidR="00112540" w:rsidRPr="00FF6351" w:rsidRDefault="00112540" w:rsidP="00112540">
      <w:pPr>
        <w:autoSpaceDE w:val="0"/>
        <w:autoSpaceDN w:val="0"/>
        <w:adjustRightInd w:val="0"/>
        <w:jc w:val="both"/>
        <w:rPr>
          <w:bCs/>
        </w:rPr>
      </w:pPr>
    </w:p>
    <w:p w:rsidR="00112540" w:rsidRPr="00FF6351" w:rsidRDefault="00112540" w:rsidP="00112540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Platným certifikátem vydaným v</w:t>
      </w:r>
      <w:r w:rsidRPr="00155538">
        <w:rPr>
          <w:bCs/>
        </w:rPr>
        <w:t> </w:t>
      </w:r>
      <w:r w:rsidRPr="00FF6351">
        <w:rPr>
          <w:bCs/>
        </w:rPr>
        <w:t>rámci schváleného systému certifikovaných dodavatelů (dále jen „S</w:t>
      </w:r>
      <w:r>
        <w:rPr>
          <w:bCs/>
        </w:rPr>
        <w:t>CD“) lze prokázat kvalifikaci v</w:t>
      </w:r>
      <w:r w:rsidRPr="00155538">
        <w:rPr>
          <w:bCs/>
        </w:rPr>
        <w:t> </w:t>
      </w:r>
      <w:r w:rsidRPr="00FF6351">
        <w:rPr>
          <w:bCs/>
        </w:rPr>
        <w:t xml:space="preserve">zadávacím řízení. Má se za to, </w:t>
      </w:r>
      <w:r>
        <w:rPr>
          <w:bCs/>
        </w:rPr>
        <w:t>že dodavatel je kvalifikovaný v</w:t>
      </w:r>
      <w:r w:rsidRPr="00155538">
        <w:rPr>
          <w:bCs/>
        </w:rPr>
        <w:t> </w:t>
      </w:r>
      <w:r>
        <w:rPr>
          <w:bCs/>
        </w:rPr>
        <w:t>rozsahu uvedeném na</w:t>
      </w:r>
      <w:r w:rsidRPr="00155538">
        <w:rPr>
          <w:bCs/>
        </w:rPr>
        <w:t> </w:t>
      </w:r>
      <w:r w:rsidRPr="00FF6351">
        <w:rPr>
          <w:bCs/>
        </w:rPr>
        <w:t>certifikátu.</w:t>
      </w:r>
    </w:p>
    <w:p w:rsidR="00112540" w:rsidRDefault="00112540" w:rsidP="00112540">
      <w:pPr>
        <w:keepNext/>
        <w:ind w:right="-108"/>
        <w:jc w:val="both"/>
        <w:rPr>
          <w:bCs/>
        </w:rPr>
      </w:pPr>
      <w:r w:rsidRPr="00FF6351">
        <w:rPr>
          <w:bCs/>
        </w:rPr>
        <w:t>Stejně jako certifikátem vydaným v rámci schváleného SCD může dodavatel prokázat kvalifikaci osvědčením, které pochází z jiného členského státu, v němž má dodavatel sídlo, a které je obdobou certifikátu vydaného v rámci systému certifikovaných dodavatelů.</w:t>
      </w:r>
    </w:p>
    <w:p w:rsidR="00AF782B" w:rsidRPr="00AF782B" w:rsidRDefault="00E73D9B" w:rsidP="00416DF3">
      <w:pPr>
        <w:pStyle w:val="Nadpis1"/>
      </w:pPr>
      <w:r w:rsidRPr="00781C9B">
        <w:t>6.</w:t>
      </w:r>
      <w:r w:rsidRPr="00781C9B">
        <w:tab/>
        <w:t>Termín A ZPŮSOB pro podání nabídek</w:t>
      </w:r>
    </w:p>
    <w:p w:rsidR="008510CE" w:rsidRPr="00781C9B" w:rsidRDefault="00E73D9B" w:rsidP="00CC397E">
      <w:pPr>
        <w:pStyle w:val="Nadpis2"/>
      </w:pPr>
      <w:bookmarkStart w:id="4" w:name="_Toc350412612"/>
      <w:proofErr w:type="gramStart"/>
      <w:r w:rsidRPr="00781C9B">
        <w:t>6.1</w:t>
      </w:r>
      <w:proofErr w:type="gramEnd"/>
      <w:r w:rsidRPr="00781C9B">
        <w:t>.</w:t>
      </w:r>
      <w:r w:rsidRPr="00781C9B">
        <w:tab/>
        <w:t>Lhůta a způsob pro podání nabídek</w:t>
      </w:r>
      <w:bookmarkEnd w:id="4"/>
    </w:p>
    <w:p w:rsidR="008510CE" w:rsidRPr="00781C9B" w:rsidRDefault="00E73D9B" w:rsidP="008510CE">
      <w:pPr>
        <w:widowControl w:val="0"/>
      </w:pPr>
      <w:r w:rsidRPr="00781C9B">
        <w:t xml:space="preserve">Nabídky musí být podány </w:t>
      </w:r>
      <w:r w:rsidRPr="00E73D9B">
        <w:rPr>
          <w:b/>
          <w:u w:val="single"/>
        </w:rPr>
        <w:t>nejpozději do 15.</w:t>
      </w:r>
      <w:r>
        <w:rPr>
          <w:b/>
          <w:u w:val="single"/>
        </w:rPr>
        <w:t xml:space="preserve"> </w:t>
      </w:r>
      <w:r w:rsidRPr="00E73D9B">
        <w:rPr>
          <w:b/>
          <w:u w:val="single"/>
        </w:rPr>
        <w:t>2.</w:t>
      </w:r>
      <w:r>
        <w:rPr>
          <w:b/>
          <w:u w:val="single"/>
        </w:rPr>
        <w:t xml:space="preserve"> </w:t>
      </w:r>
      <w:r w:rsidRPr="00E73D9B">
        <w:rPr>
          <w:b/>
          <w:u w:val="single"/>
        </w:rPr>
        <w:t>2021</w:t>
      </w:r>
      <w:r>
        <w:rPr>
          <w:b/>
          <w:u w:val="single"/>
        </w:rPr>
        <w:t xml:space="preserve"> do </w:t>
      </w:r>
      <w:r w:rsidRPr="00E73D9B">
        <w:rPr>
          <w:b/>
          <w:u w:val="single"/>
        </w:rPr>
        <w:t>8.00</w:t>
      </w:r>
      <w:r>
        <w:rPr>
          <w:b/>
          <w:u w:val="single"/>
        </w:rPr>
        <w:t xml:space="preserve"> hod</w:t>
      </w:r>
      <w:r w:rsidRPr="00781C9B">
        <w:t>. Podáním nabídky se rozumí doručení nabídky zadavateli. Za včasné doručení odpovídá dodavatel.</w:t>
      </w:r>
    </w:p>
    <w:p w:rsidR="008510CE" w:rsidRDefault="008510CE" w:rsidP="008510CE">
      <w:pPr>
        <w:widowControl w:val="0"/>
      </w:pPr>
    </w:p>
    <w:p w:rsidR="008510CE" w:rsidRPr="00781C9B" w:rsidRDefault="00E73D9B" w:rsidP="008510CE">
      <w:pPr>
        <w:widowControl w:val="0"/>
      </w:pPr>
      <w:r w:rsidRPr="00781C9B">
        <w:t>Nabídky se podávají elektronicky prostřednictvím Národního elektron</w:t>
      </w:r>
      <w:r w:rsidRPr="00781C9B">
        <w:t>ického nástroje ve strukturované podobě nastavené v Národním elektronickém nástroji.</w:t>
      </w:r>
    </w:p>
    <w:p w:rsidR="008510CE" w:rsidRPr="00781C9B" w:rsidRDefault="008510CE" w:rsidP="008510CE">
      <w:pPr>
        <w:widowControl w:val="0"/>
      </w:pPr>
    </w:p>
    <w:p w:rsidR="006F4857" w:rsidRDefault="00E73D9B" w:rsidP="008510CE">
      <w:pPr>
        <w:widowControl w:val="0"/>
      </w:pPr>
      <w:r w:rsidRPr="00781C9B">
        <w:t>Nabídka musí být podána nejpozději do konce lhůty pro podání nabídek stanovené výše.</w:t>
      </w:r>
    </w:p>
    <w:p w:rsidR="00032170" w:rsidRDefault="00032170" w:rsidP="008510CE">
      <w:pPr>
        <w:widowControl w:val="0"/>
      </w:pPr>
    </w:p>
    <w:p w:rsidR="00D868AA" w:rsidRDefault="00E73D9B" w:rsidP="008510CE">
      <w:pPr>
        <w:widowControl w:val="0"/>
      </w:pPr>
      <w:r>
        <w:t>Zadavatel upozorňuje, že dodavatel bude vkládat do nabídkového formuláře kromě dokum</w:t>
      </w:r>
      <w:r>
        <w:t>entů také číselné hodnoty u číselných kritérií (případně další informace, které si zadavatel vyhradil).</w:t>
      </w:r>
    </w:p>
    <w:p w:rsidR="00032170" w:rsidRPr="00781C9B" w:rsidRDefault="00E73D9B" w:rsidP="008510CE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:rsidR="008510CE" w:rsidRPr="00781C9B" w:rsidRDefault="008510CE" w:rsidP="00CB00E5">
      <w:pPr>
        <w:widowControl w:val="0"/>
        <w:rPr>
          <w:color w:val="984806" w:themeColor="accent6" w:themeShade="80"/>
          <w:sz w:val="18"/>
          <w:u w:val="single"/>
        </w:rPr>
      </w:pPr>
    </w:p>
    <w:p w:rsidR="008510CE" w:rsidRDefault="00E73D9B" w:rsidP="008510CE">
      <w:pPr>
        <w:widowControl w:val="0"/>
        <w:rPr>
          <w:bCs/>
        </w:rPr>
      </w:pPr>
      <w:r w:rsidRPr="00781C9B">
        <w:rPr>
          <w:bCs/>
        </w:rPr>
        <w:t xml:space="preserve">Dodavatel není oprávněn podmínit jím v nabídce uvedené údaje, </w:t>
      </w:r>
      <w:r w:rsidRPr="00781C9B">
        <w:rPr>
          <w:bCs/>
        </w:rPr>
        <w:t>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</w:t>
      </w:r>
      <w:r w:rsidRPr="00781C9B">
        <w:rPr>
          <w:bCs/>
        </w:rPr>
        <w:t>předmětem hodnocení nabídky, v jiné veličině či formě než zadavatel požadoval.</w:t>
      </w:r>
    </w:p>
    <w:p w:rsidR="00E73D9B" w:rsidRDefault="00E73D9B" w:rsidP="008510CE">
      <w:pPr>
        <w:widowControl w:val="0"/>
        <w:rPr>
          <w:bCs/>
        </w:rPr>
      </w:pPr>
    </w:p>
    <w:p w:rsidR="00E73D9B" w:rsidRPr="00781C9B" w:rsidRDefault="00E73D9B" w:rsidP="008510CE">
      <w:pPr>
        <w:widowControl w:val="0"/>
        <w:rPr>
          <w:bCs/>
        </w:rPr>
      </w:pPr>
    </w:p>
    <w:p w:rsidR="00E73D9B" w:rsidRPr="00781C9B" w:rsidRDefault="00E73D9B" w:rsidP="00E73D9B">
      <w:pPr>
        <w:keepNext/>
        <w:spacing w:before="240" w:after="360"/>
        <w:contextualSpacing/>
        <w:outlineLvl w:val="0"/>
        <w:rPr>
          <w:rFonts w:cs="Arial"/>
          <w:b/>
          <w:bCs/>
          <w:caps/>
          <w:kern w:val="32"/>
          <w:szCs w:val="32"/>
        </w:rPr>
      </w:pPr>
      <w:bookmarkStart w:id="5" w:name="_Toc350412605"/>
      <w:r>
        <w:rPr>
          <w:rFonts w:cs="Arial"/>
          <w:b/>
          <w:bCs/>
          <w:caps/>
          <w:kern w:val="32"/>
          <w:szCs w:val="32"/>
        </w:rPr>
        <w:t>7</w:t>
      </w:r>
      <w:r w:rsidRPr="00781C9B">
        <w:rPr>
          <w:rFonts w:cs="Arial"/>
          <w:b/>
          <w:bCs/>
          <w:caps/>
          <w:kern w:val="32"/>
          <w:szCs w:val="32"/>
        </w:rPr>
        <w:t>.</w:t>
      </w:r>
      <w:r w:rsidRPr="00781C9B">
        <w:rPr>
          <w:rFonts w:cs="Arial"/>
          <w:b/>
          <w:bCs/>
          <w:caps/>
          <w:kern w:val="32"/>
          <w:szCs w:val="32"/>
        </w:rPr>
        <w:tab/>
        <w:t>Obchodní podmínky a návrh smlouvy</w:t>
      </w:r>
      <w:bookmarkEnd w:id="5"/>
    </w:p>
    <w:p w:rsidR="00E73D9B" w:rsidRPr="00781C9B" w:rsidRDefault="00E73D9B" w:rsidP="00E73D9B">
      <w:pPr>
        <w:rPr>
          <w:i/>
        </w:rPr>
      </w:pPr>
    </w:p>
    <w:p w:rsidR="00E73D9B" w:rsidRPr="00781C9B" w:rsidRDefault="00E73D9B" w:rsidP="00E73D9B">
      <w:pPr>
        <w:keepNext/>
        <w:jc w:val="both"/>
        <w:rPr>
          <w:sz w:val="2"/>
        </w:rPr>
      </w:pPr>
      <w:r w:rsidRPr="00781C9B">
        <w:t xml:space="preserve">Obchodní podmínky zadavatel stanovil v návrhu smlouvy, který předkládá jako součást zadávací dokumentace. Dodavatel do návrhu smlouvy doplní své údaje. Dodavatelem </w:t>
      </w:r>
      <w:r>
        <w:t>doplněný</w:t>
      </w:r>
      <w:r w:rsidRPr="00781C9B">
        <w:t xml:space="preserve"> návrh smlouvy předloží zadavateli v nabídce.</w:t>
      </w:r>
    </w:p>
    <w:p w:rsidR="00E73D9B" w:rsidRPr="00781C9B" w:rsidRDefault="00E73D9B" w:rsidP="00E73D9B">
      <w:pPr>
        <w:jc w:val="both"/>
      </w:pPr>
    </w:p>
    <w:p w:rsidR="00E73D9B" w:rsidRPr="00781C9B" w:rsidRDefault="00E73D9B" w:rsidP="00E73D9B">
      <w:pPr>
        <w:jc w:val="both"/>
      </w:pPr>
      <w:r w:rsidRPr="00781C9B">
        <w:t>V případě, že dodavatel shledá v návrhu smlouvy nejasnosti, vyžádá si od zadavatele dodatečné informace.</w:t>
      </w:r>
    </w:p>
    <w:p w:rsidR="00E73D9B" w:rsidRPr="00781C9B" w:rsidRDefault="00E73D9B" w:rsidP="00E73D9B">
      <w:pPr>
        <w:jc w:val="both"/>
      </w:pPr>
    </w:p>
    <w:p w:rsidR="00E73D9B" w:rsidRPr="00781C9B" w:rsidRDefault="00E73D9B" w:rsidP="00E73D9B">
      <w:pPr>
        <w:jc w:val="both"/>
      </w:pPr>
      <w:r w:rsidRPr="00781C9B">
        <w:t>Dodavatelem upravený návrh smlouvy musí akceptovat ustanovení obecně závazných právních předpisů vztahujících se k provádění této veřejné zakázky.</w:t>
      </w:r>
    </w:p>
    <w:p w:rsidR="00E73D9B" w:rsidRDefault="00E73D9B" w:rsidP="00E73D9B">
      <w:pPr>
        <w:pStyle w:val="Nadpis1"/>
        <w:spacing w:after="240"/>
      </w:pPr>
      <w:bookmarkStart w:id="6" w:name="_Toc350412618"/>
      <w:r>
        <w:lastRenderedPageBreak/>
        <w:t>8</w:t>
      </w:r>
      <w:r w:rsidRPr="00781C9B">
        <w:t>.</w:t>
      </w:r>
      <w:r w:rsidRPr="00781C9B">
        <w:tab/>
        <w:t>Dal</w:t>
      </w:r>
      <w:r>
        <w:t>ší informace K ZADÁVACÍMU postupu</w:t>
      </w:r>
    </w:p>
    <w:p w:rsidR="00E73D9B" w:rsidRPr="00781C9B" w:rsidRDefault="00E73D9B" w:rsidP="00E73D9B">
      <w:pPr>
        <w:pStyle w:val="Nadpis2"/>
      </w:pPr>
      <w:bookmarkStart w:id="7" w:name="_Toc350412622"/>
      <w:bookmarkEnd w:id="6"/>
      <w:proofErr w:type="gramStart"/>
      <w:r>
        <w:t>8</w:t>
      </w:r>
      <w:r w:rsidRPr="00781C9B">
        <w:t>.1</w:t>
      </w:r>
      <w:proofErr w:type="gramEnd"/>
      <w:r w:rsidRPr="00781C9B">
        <w:t>.</w:t>
      </w:r>
      <w:r w:rsidRPr="00781C9B">
        <w:tab/>
        <w:t>Variantní řešení nabídky</w:t>
      </w:r>
      <w:bookmarkEnd w:id="7"/>
    </w:p>
    <w:p w:rsidR="00E73D9B" w:rsidRDefault="00E73D9B" w:rsidP="00E73D9B">
      <w:pPr>
        <w:spacing w:after="240"/>
      </w:pPr>
      <w:r w:rsidRPr="00781C9B">
        <w:t>Zadavatel nepřipouští varianty nabídky.</w:t>
      </w:r>
      <w:bookmarkStart w:id="8" w:name="_Toc350412629"/>
    </w:p>
    <w:p w:rsidR="00E73D9B" w:rsidRPr="00781C9B" w:rsidRDefault="00E73D9B" w:rsidP="00E73D9B">
      <w:pPr>
        <w:pStyle w:val="Nadpis2"/>
      </w:pPr>
      <w:proofErr w:type="gramStart"/>
      <w:r>
        <w:t>8</w:t>
      </w:r>
      <w:r w:rsidRPr="00781C9B">
        <w:t>.2</w:t>
      </w:r>
      <w:proofErr w:type="gramEnd"/>
      <w:r w:rsidRPr="00781C9B">
        <w:t>.</w:t>
      </w:r>
      <w:r w:rsidRPr="00781C9B">
        <w:tab/>
        <w:t>Další informace technické povahy</w:t>
      </w:r>
      <w:bookmarkEnd w:id="8"/>
    </w:p>
    <w:p w:rsidR="00E73D9B" w:rsidRPr="00781C9B" w:rsidRDefault="00E73D9B" w:rsidP="00E73D9B">
      <w:pPr>
        <w:spacing w:after="240"/>
        <w:jc w:val="both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:rsidR="00E73D9B" w:rsidRPr="00781C9B" w:rsidRDefault="00E73D9B" w:rsidP="00E73D9B">
      <w:pPr>
        <w:pStyle w:val="Nadpis2"/>
        <w:jc w:val="both"/>
      </w:pPr>
      <w:proofErr w:type="gramStart"/>
      <w:r>
        <w:t>8</w:t>
      </w:r>
      <w:r w:rsidRPr="00781C9B">
        <w:t>.3</w:t>
      </w:r>
      <w:proofErr w:type="gramEnd"/>
      <w:r w:rsidRPr="00781C9B">
        <w:t>.</w:t>
      </w:r>
      <w:r w:rsidRPr="00781C9B">
        <w:tab/>
        <w:t>Vysvětlení zadávací dokumentace</w:t>
      </w:r>
    </w:p>
    <w:p w:rsidR="00E73D9B" w:rsidRDefault="00E73D9B" w:rsidP="00E73D9B">
      <w:pPr>
        <w:jc w:val="both"/>
      </w:pPr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:rsidR="00E73D9B" w:rsidRDefault="00E73D9B" w:rsidP="00E73D9B">
      <w:pPr>
        <w:jc w:val="both"/>
      </w:pPr>
    </w:p>
    <w:p w:rsidR="00E73D9B" w:rsidRDefault="00E73D9B" w:rsidP="00E73D9B">
      <w:pPr>
        <w:spacing w:after="240"/>
        <w:jc w:val="both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9" w:name="_Toc350341007"/>
      <w:bookmarkStart w:id="10" w:name="_Toc350341157"/>
      <w:bookmarkStart w:id="11" w:name="_Toc350341008"/>
      <w:bookmarkStart w:id="12" w:name="_Toc350341158"/>
      <w:bookmarkStart w:id="13" w:name="_Toc350341010"/>
      <w:bookmarkStart w:id="14" w:name="_Toc350341160"/>
      <w:bookmarkStart w:id="15" w:name="_Toc350341011"/>
      <w:bookmarkStart w:id="16" w:name="_Toc350341161"/>
      <w:bookmarkStart w:id="17" w:name="_Toc350341012"/>
      <w:bookmarkStart w:id="18" w:name="_Toc350341162"/>
      <w:bookmarkStart w:id="19" w:name="_Toc350341013"/>
      <w:bookmarkStart w:id="20" w:name="_Toc350341163"/>
      <w:bookmarkStart w:id="21" w:name="_Toc350341014"/>
      <w:bookmarkStart w:id="22" w:name="_Toc350341164"/>
      <w:bookmarkStart w:id="23" w:name="_Toc350341015"/>
      <w:bookmarkStart w:id="24" w:name="_Toc350341165"/>
      <w:bookmarkStart w:id="25" w:name="_Toc350341016"/>
      <w:bookmarkStart w:id="26" w:name="_Toc350341166"/>
      <w:bookmarkStart w:id="27" w:name="_Toc350341018"/>
      <w:bookmarkStart w:id="28" w:name="_Toc350341168"/>
      <w:bookmarkStart w:id="29" w:name="_Toc350341019"/>
      <w:bookmarkStart w:id="30" w:name="_Toc350341169"/>
      <w:bookmarkStart w:id="31" w:name="_Toc35041263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:rsidR="00E73D9B" w:rsidRPr="00781C9B" w:rsidRDefault="00E73D9B" w:rsidP="00E73D9B">
      <w:pPr>
        <w:pStyle w:val="Nadpis2"/>
        <w:jc w:val="both"/>
      </w:pPr>
      <w:proofErr w:type="gramStart"/>
      <w:r>
        <w:t>8</w:t>
      </w:r>
      <w:r w:rsidRPr="00781C9B">
        <w:t>.4</w:t>
      </w:r>
      <w:proofErr w:type="gramEnd"/>
      <w:r w:rsidRPr="00781C9B">
        <w:t>.</w:t>
      </w:r>
      <w:r w:rsidRPr="00781C9B">
        <w:tab/>
        <w:t>Zadavatel si vyhrazuje právo</w:t>
      </w:r>
      <w:bookmarkEnd w:id="31"/>
    </w:p>
    <w:p w:rsidR="00E73D9B" w:rsidRPr="00781C9B" w:rsidRDefault="00E73D9B" w:rsidP="00E73D9B">
      <w:pPr>
        <w:widowControl w:val="0"/>
        <w:adjustRightInd w:val="0"/>
        <w:jc w:val="both"/>
        <w:textAlignment w:val="baseline"/>
        <w:rPr>
          <w:rFonts w:eastAsia="MS Mincho"/>
        </w:rPr>
      </w:pPr>
      <w:r w:rsidRPr="00781C9B">
        <w:rPr>
          <w:rFonts w:eastAsia="MS Mincho"/>
        </w:rPr>
        <w:t>• změnit, doplnit nebo upřesnit podmínky této zadávací dokumentace během trvání lhůty pro podání nabídek;</w:t>
      </w:r>
    </w:p>
    <w:p w:rsidR="00E73D9B" w:rsidRPr="00781C9B" w:rsidRDefault="00E73D9B" w:rsidP="00E73D9B">
      <w:pPr>
        <w:widowControl w:val="0"/>
        <w:adjustRightInd w:val="0"/>
        <w:ind w:left="567" w:hanging="567"/>
        <w:jc w:val="both"/>
        <w:textAlignment w:val="baseline"/>
        <w:rPr>
          <w:rFonts w:eastAsia="MS Mincho"/>
        </w:rPr>
      </w:pPr>
      <w:r>
        <w:rPr>
          <w:rFonts w:eastAsia="MS Mincho"/>
        </w:rPr>
        <w:t>• kdykoli zrušit zadávací postup bez uvedení důvodu</w:t>
      </w:r>
      <w:r w:rsidRPr="00781C9B">
        <w:rPr>
          <w:rFonts w:eastAsia="MS Mincho"/>
        </w:rPr>
        <w:t>;</w:t>
      </w:r>
    </w:p>
    <w:p w:rsidR="00E73D9B" w:rsidRPr="00781C9B" w:rsidRDefault="00E73D9B" w:rsidP="00E73D9B">
      <w:pPr>
        <w:widowControl w:val="0"/>
        <w:adjustRightInd w:val="0"/>
        <w:ind w:left="567" w:hanging="567"/>
        <w:jc w:val="both"/>
        <w:textAlignment w:val="baseline"/>
        <w:rPr>
          <w:rFonts w:eastAsia="MS Mincho"/>
        </w:rPr>
      </w:pPr>
      <w:r w:rsidRPr="00781C9B">
        <w:rPr>
          <w:rFonts w:eastAsia="MS Mincho"/>
        </w:rPr>
        <w:t>• vyžádat si od dodavatele další doplňující infor</w:t>
      </w:r>
      <w:r>
        <w:rPr>
          <w:rFonts w:eastAsia="MS Mincho"/>
        </w:rPr>
        <w:t>mace v průběhu zadávacího postupu</w:t>
      </w:r>
      <w:r w:rsidRPr="00781C9B">
        <w:rPr>
          <w:rFonts w:eastAsia="MS Mincho"/>
        </w:rPr>
        <w:t>;</w:t>
      </w:r>
    </w:p>
    <w:p w:rsidR="00E73D9B" w:rsidRPr="00781C9B" w:rsidRDefault="00E73D9B" w:rsidP="00E73D9B">
      <w:pPr>
        <w:widowControl w:val="0"/>
        <w:adjustRightInd w:val="0"/>
        <w:ind w:left="567" w:hanging="567"/>
        <w:jc w:val="both"/>
        <w:textAlignment w:val="baseline"/>
        <w:rPr>
          <w:rFonts w:eastAsia="MS Mincho"/>
        </w:rPr>
      </w:pPr>
      <w:r w:rsidRPr="00781C9B">
        <w:rPr>
          <w:rFonts w:eastAsia="MS Mincho"/>
        </w:rPr>
        <w:t>• neuzavřít smlouvu s dodavatelem;</w:t>
      </w:r>
    </w:p>
    <w:p w:rsidR="00E73D9B" w:rsidRDefault="00E73D9B" w:rsidP="00E73D9B">
      <w:pPr>
        <w:widowControl w:val="0"/>
        <w:adjustRightInd w:val="0"/>
        <w:ind w:left="567" w:hanging="567"/>
        <w:jc w:val="both"/>
        <w:textAlignment w:val="baseline"/>
      </w:pPr>
      <w:r w:rsidRPr="00781C9B">
        <w:rPr>
          <w:rFonts w:eastAsia="MS Mincho"/>
        </w:rPr>
        <w:t xml:space="preserve">• </w:t>
      </w:r>
      <w:r w:rsidRPr="00781C9B">
        <w:t>odmítnout variantní řešení plnění veřejné zakázky, pokud jej zadavatel nepřipustil;</w:t>
      </w:r>
    </w:p>
    <w:p w:rsidR="00E73D9B" w:rsidRDefault="00E73D9B" w:rsidP="00E73D9B">
      <w:pPr>
        <w:widowControl w:val="0"/>
        <w:adjustRightInd w:val="0"/>
        <w:jc w:val="both"/>
        <w:textAlignment w:val="baseline"/>
      </w:pPr>
      <w:r w:rsidRPr="00781C9B">
        <w:rPr>
          <w:rFonts w:eastAsia="MS Mincho"/>
        </w:rPr>
        <w:t xml:space="preserve">• </w:t>
      </w:r>
      <w:r>
        <w:t>neposkytnout účastníkům náhradu nákladů, které vynaloží v souvislosti se svou účastí ve výběrovém řízení;</w:t>
      </w:r>
    </w:p>
    <w:p w:rsidR="00E73D9B" w:rsidRDefault="00E73D9B" w:rsidP="00E73D9B">
      <w:pPr>
        <w:widowControl w:val="0"/>
        <w:adjustRightInd w:val="0"/>
        <w:ind w:left="567" w:hanging="567"/>
        <w:jc w:val="both"/>
        <w:textAlignment w:val="baseline"/>
      </w:pPr>
      <w:r w:rsidRPr="00781C9B">
        <w:rPr>
          <w:rFonts w:eastAsia="MS Mincho"/>
        </w:rPr>
        <w:t>•</w:t>
      </w:r>
      <w:r>
        <w:t>odesílat jakékoliv zprávy a sdělení dodavatelům jen prostřednictvím systému NEN;</w:t>
      </w:r>
    </w:p>
    <w:p w:rsidR="00E73D9B" w:rsidRPr="00781C9B" w:rsidRDefault="00E73D9B" w:rsidP="00E73D9B">
      <w:pPr>
        <w:widowControl w:val="0"/>
        <w:adjustRightInd w:val="0"/>
        <w:ind w:left="567" w:hanging="567"/>
        <w:jc w:val="both"/>
        <w:textAlignment w:val="baseline"/>
      </w:pPr>
      <w:r w:rsidRPr="00781C9B">
        <w:rPr>
          <w:rFonts w:eastAsia="MS Mincho"/>
        </w:rPr>
        <w:t xml:space="preserve">• </w:t>
      </w:r>
      <w:r w:rsidRPr="00781C9B">
        <w:t>rozhodnutí o vyloučení dodavatele oznámit jeho uveřejněním na profilu zadavatele;</w:t>
      </w:r>
    </w:p>
    <w:p w:rsidR="00E73D9B" w:rsidRPr="00781C9B" w:rsidRDefault="00E73D9B" w:rsidP="00E73D9B">
      <w:pPr>
        <w:widowControl w:val="0"/>
        <w:adjustRightInd w:val="0"/>
        <w:ind w:left="567" w:hanging="567"/>
        <w:jc w:val="both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• </w:t>
      </w:r>
      <w:r w:rsidRPr="00781C9B">
        <w:t>uveřejnit oznámení o výběru nejvhodnější nabídky na profilu zadavatele;</w:t>
      </w:r>
    </w:p>
    <w:p w:rsidR="00E73D9B" w:rsidRPr="00781C9B" w:rsidRDefault="00E73D9B" w:rsidP="00E73D9B">
      <w:pPr>
        <w:jc w:val="both"/>
      </w:pPr>
    </w:p>
    <w:p w:rsidR="00E73D9B" w:rsidRPr="00781C9B" w:rsidRDefault="00E73D9B" w:rsidP="00E73D9B">
      <w:pPr>
        <w:jc w:val="both"/>
      </w:pPr>
      <w:r w:rsidRPr="00781C9B">
        <w:t>Veškeré náklady spojené s vypracováním nabídky a účas</w:t>
      </w:r>
      <w:r>
        <w:t>tí dodavatele ve výběrovém řízení</w:t>
      </w:r>
      <w:r w:rsidRPr="00781C9B">
        <w:t xml:space="preserve"> jdou k tíži dodavatele.</w:t>
      </w:r>
    </w:p>
    <w:p w:rsidR="008510CE" w:rsidRPr="00434235" w:rsidRDefault="008510CE" w:rsidP="00563732">
      <w:pPr>
        <w:tabs>
          <w:tab w:val="left" w:pos="709"/>
        </w:tabs>
        <w:outlineLvl w:val="0"/>
        <w:rPr>
          <w:u w:val="single"/>
          <w:lang w:val="en-US"/>
        </w:rPr>
      </w:pPr>
    </w:p>
    <w:p w:rsidR="008379B0" w:rsidRPr="00F82D77" w:rsidRDefault="00E73D9B" w:rsidP="008379B0">
      <w:pPr>
        <w:keepNext/>
        <w:rPr>
          <w:bCs/>
          <w:color w:val="548DD4" w:themeColor="text2" w:themeTint="99"/>
          <w:sz w:val="18"/>
        </w:rPr>
      </w:pPr>
      <w:proofErr w:type="gramStart"/>
      <w:r w:rsidRPr="00F82D77">
        <w:t>2.2.2021</w:t>
      </w:r>
      <w:proofErr w:type="gramEnd"/>
    </w:p>
    <w:p w:rsidR="008379B0" w:rsidRPr="00F82D77" w:rsidRDefault="008379B0" w:rsidP="009C411D">
      <w:pPr>
        <w:keepNext/>
        <w:rPr>
          <w:b/>
        </w:rPr>
      </w:pPr>
    </w:p>
    <w:p w:rsidR="008379B0" w:rsidRPr="00F82D77" w:rsidRDefault="00E73D9B" w:rsidP="003E0388">
      <w:pPr>
        <w:keepNext/>
      </w:pPr>
      <w:r w:rsidRPr="00F82D77">
        <w:rPr>
          <w:rFonts w:eastAsia="Calibri"/>
        </w:rPr>
        <w:t xml:space="preserve">Za správnost vyhotovení: </w:t>
      </w:r>
      <w:r>
        <w:t>Kateřina Řezníčková</w:t>
      </w:r>
      <w:r w:rsidRPr="00F82D77">
        <w:rPr>
          <w:bCs/>
        </w:rPr>
        <w:t xml:space="preserve">, Středisko obsluhy výcvikového zařízení </w:t>
      </w:r>
      <w:proofErr w:type="spellStart"/>
      <w:r w:rsidRPr="00F82D77">
        <w:rPr>
          <w:bCs/>
        </w:rPr>
        <w:t>Libavá</w:t>
      </w:r>
      <w:proofErr w:type="spellEnd"/>
    </w:p>
    <w:sectPr w:rsidR="008379B0" w:rsidRPr="00F82D77" w:rsidSect="008510CE">
      <w:headerReference w:type="default" r:id="rId11"/>
      <w:footerReference w:type="default" r:id="rId12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F8B" w:rsidRDefault="00FD2F8B" w:rsidP="00FD2F8B">
      <w:r>
        <w:separator/>
      </w:r>
    </w:p>
  </w:endnote>
  <w:endnote w:type="continuationSeparator" w:id="1">
    <w:p w:rsidR="00FD2F8B" w:rsidRDefault="00FD2F8B" w:rsidP="00FD2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3F6" w:rsidRPr="00E234AE" w:rsidRDefault="00CA73F6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:rsidR="00CA73F6" w:rsidRPr="00E21605" w:rsidRDefault="00E73D9B" w:rsidP="008510CE">
    <w:pPr>
      <w:pStyle w:val="Zpat"/>
      <w:jc w:val="right"/>
      <w:rPr>
        <w:sz w:val="22"/>
        <w:szCs w:val="20"/>
      </w:rPr>
    </w:pPr>
    <w:r w:rsidRPr="00E21605">
      <w:rPr>
        <w:sz w:val="22"/>
        <w:szCs w:val="20"/>
      </w:rPr>
      <w:t xml:space="preserve">Strana: </w:t>
    </w:r>
    <w:r w:rsidR="00FD2F8B"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="00FD2F8B" w:rsidRPr="00E21605">
      <w:rPr>
        <w:sz w:val="22"/>
        <w:szCs w:val="20"/>
      </w:rPr>
      <w:fldChar w:fldCharType="separate"/>
    </w:r>
    <w:r>
      <w:rPr>
        <w:noProof/>
        <w:sz w:val="22"/>
        <w:szCs w:val="20"/>
      </w:rPr>
      <w:t>6</w:t>
    </w:r>
    <w:r w:rsidR="00FD2F8B"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="00FD2F8B"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="00FD2F8B" w:rsidRPr="00E21605">
      <w:rPr>
        <w:sz w:val="22"/>
        <w:szCs w:val="20"/>
      </w:rPr>
      <w:fldChar w:fldCharType="separate"/>
    </w:r>
    <w:r>
      <w:rPr>
        <w:noProof/>
        <w:sz w:val="22"/>
        <w:szCs w:val="20"/>
      </w:rPr>
      <w:t>6</w:t>
    </w:r>
    <w:r w:rsidR="00FD2F8B" w:rsidRPr="00E21605">
      <w:rPr>
        <w:sz w:val="22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F8B" w:rsidRDefault="00FD2F8B" w:rsidP="00FD2F8B">
      <w:r>
        <w:separator/>
      </w:r>
    </w:p>
  </w:footnote>
  <w:footnote w:type="continuationSeparator" w:id="1">
    <w:p w:rsidR="00FD2F8B" w:rsidRDefault="00FD2F8B" w:rsidP="00FD2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3F6" w:rsidRPr="00553445" w:rsidRDefault="00CA73F6" w:rsidP="008510CE">
    <w:pPr>
      <w:pStyle w:val="Zhlav"/>
      <w:jc w:val="center"/>
      <w:rPr>
        <w:bCs/>
        <w:color w:val="1F497D"/>
        <w:sz w:val="14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B00BA"/>
    <w:multiLevelType w:val="hybridMultilevel"/>
    <w:tmpl w:val="2924CE7E"/>
    <w:lvl w:ilvl="0" w:tplc="F35CC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61012" w:tentative="1">
      <w:start w:val="1"/>
      <w:numFmt w:val="lowerLetter"/>
      <w:lvlText w:val="%2."/>
      <w:lvlJc w:val="left"/>
      <w:pPr>
        <w:ind w:left="1440" w:hanging="360"/>
      </w:pPr>
    </w:lvl>
    <w:lvl w:ilvl="2" w:tplc="F5E04004" w:tentative="1">
      <w:start w:val="1"/>
      <w:numFmt w:val="lowerRoman"/>
      <w:lvlText w:val="%3."/>
      <w:lvlJc w:val="right"/>
      <w:pPr>
        <w:ind w:left="2160" w:hanging="180"/>
      </w:pPr>
    </w:lvl>
    <w:lvl w:ilvl="3" w:tplc="284A1FF0" w:tentative="1">
      <w:start w:val="1"/>
      <w:numFmt w:val="decimal"/>
      <w:lvlText w:val="%4."/>
      <w:lvlJc w:val="left"/>
      <w:pPr>
        <w:ind w:left="2880" w:hanging="360"/>
      </w:pPr>
    </w:lvl>
    <w:lvl w:ilvl="4" w:tplc="B74A1038" w:tentative="1">
      <w:start w:val="1"/>
      <w:numFmt w:val="lowerLetter"/>
      <w:lvlText w:val="%5."/>
      <w:lvlJc w:val="left"/>
      <w:pPr>
        <w:ind w:left="3600" w:hanging="360"/>
      </w:pPr>
    </w:lvl>
    <w:lvl w:ilvl="5" w:tplc="888CF976" w:tentative="1">
      <w:start w:val="1"/>
      <w:numFmt w:val="lowerRoman"/>
      <w:lvlText w:val="%6."/>
      <w:lvlJc w:val="right"/>
      <w:pPr>
        <w:ind w:left="4320" w:hanging="180"/>
      </w:pPr>
    </w:lvl>
    <w:lvl w:ilvl="6" w:tplc="B4A4B064" w:tentative="1">
      <w:start w:val="1"/>
      <w:numFmt w:val="decimal"/>
      <w:lvlText w:val="%7."/>
      <w:lvlJc w:val="left"/>
      <w:pPr>
        <w:ind w:left="5040" w:hanging="360"/>
      </w:pPr>
    </w:lvl>
    <w:lvl w:ilvl="7" w:tplc="971EBED0" w:tentative="1">
      <w:start w:val="1"/>
      <w:numFmt w:val="lowerLetter"/>
      <w:lvlText w:val="%8."/>
      <w:lvlJc w:val="left"/>
      <w:pPr>
        <w:ind w:left="5760" w:hanging="360"/>
      </w:pPr>
    </w:lvl>
    <w:lvl w:ilvl="8" w:tplc="B1FA35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B04E5"/>
    <w:multiLevelType w:val="hybridMultilevel"/>
    <w:tmpl w:val="C17675A8"/>
    <w:lvl w:ilvl="0" w:tplc="C3D0A1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F262572" w:tentative="1">
      <w:start w:val="1"/>
      <w:numFmt w:val="lowerLetter"/>
      <w:lvlText w:val="%2."/>
      <w:lvlJc w:val="left"/>
      <w:pPr>
        <w:ind w:left="1440" w:hanging="360"/>
      </w:pPr>
    </w:lvl>
    <w:lvl w:ilvl="2" w:tplc="FF46CD8A" w:tentative="1">
      <w:start w:val="1"/>
      <w:numFmt w:val="lowerRoman"/>
      <w:lvlText w:val="%3."/>
      <w:lvlJc w:val="right"/>
      <w:pPr>
        <w:ind w:left="2160" w:hanging="180"/>
      </w:pPr>
    </w:lvl>
    <w:lvl w:ilvl="3" w:tplc="A4A24460" w:tentative="1">
      <w:start w:val="1"/>
      <w:numFmt w:val="decimal"/>
      <w:lvlText w:val="%4."/>
      <w:lvlJc w:val="left"/>
      <w:pPr>
        <w:ind w:left="2880" w:hanging="360"/>
      </w:pPr>
    </w:lvl>
    <w:lvl w:ilvl="4" w:tplc="8D047F28" w:tentative="1">
      <w:start w:val="1"/>
      <w:numFmt w:val="lowerLetter"/>
      <w:lvlText w:val="%5."/>
      <w:lvlJc w:val="left"/>
      <w:pPr>
        <w:ind w:left="3600" w:hanging="360"/>
      </w:pPr>
    </w:lvl>
    <w:lvl w:ilvl="5" w:tplc="A15E28B4" w:tentative="1">
      <w:start w:val="1"/>
      <w:numFmt w:val="lowerRoman"/>
      <w:lvlText w:val="%6."/>
      <w:lvlJc w:val="right"/>
      <w:pPr>
        <w:ind w:left="4320" w:hanging="180"/>
      </w:pPr>
    </w:lvl>
    <w:lvl w:ilvl="6" w:tplc="CC5699B2" w:tentative="1">
      <w:start w:val="1"/>
      <w:numFmt w:val="decimal"/>
      <w:lvlText w:val="%7."/>
      <w:lvlJc w:val="left"/>
      <w:pPr>
        <w:ind w:left="5040" w:hanging="360"/>
      </w:pPr>
    </w:lvl>
    <w:lvl w:ilvl="7" w:tplc="BCCC4FAC" w:tentative="1">
      <w:start w:val="1"/>
      <w:numFmt w:val="lowerLetter"/>
      <w:lvlText w:val="%8."/>
      <w:lvlJc w:val="left"/>
      <w:pPr>
        <w:ind w:left="5760" w:hanging="360"/>
      </w:pPr>
    </w:lvl>
    <w:lvl w:ilvl="8" w:tplc="DFF45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50F0A"/>
    <w:multiLevelType w:val="hybridMultilevel"/>
    <w:tmpl w:val="C17675A8"/>
    <w:lvl w:ilvl="0" w:tplc="F5626CC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E72AB2A8" w:tentative="1">
      <w:start w:val="1"/>
      <w:numFmt w:val="lowerLetter"/>
      <w:lvlText w:val="%2."/>
      <w:lvlJc w:val="left"/>
      <w:pPr>
        <w:ind w:left="1222" w:hanging="360"/>
      </w:pPr>
    </w:lvl>
    <w:lvl w:ilvl="2" w:tplc="8F483100" w:tentative="1">
      <w:start w:val="1"/>
      <w:numFmt w:val="lowerRoman"/>
      <w:lvlText w:val="%3."/>
      <w:lvlJc w:val="right"/>
      <w:pPr>
        <w:ind w:left="1942" w:hanging="180"/>
      </w:pPr>
    </w:lvl>
    <w:lvl w:ilvl="3" w:tplc="1F543AB8" w:tentative="1">
      <w:start w:val="1"/>
      <w:numFmt w:val="decimal"/>
      <w:lvlText w:val="%4."/>
      <w:lvlJc w:val="left"/>
      <w:pPr>
        <w:ind w:left="2662" w:hanging="360"/>
      </w:pPr>
    </w:lvl>
    <w:lvl w:ilvl="4" w:tplc="1DDA9D6E" w:tentative="1">
      <w:start w:val="1"/>
      <w:numFmt w:val="lowerLetter"/>
      <w:lvlText w:val="%5."/>
      <w:lvlJc w:val="left"/>
      <w:pPr>
        <w:ind w:left="3382" w:hanging="360"/>
      </w:pPr>
    </w:lvl>
    <w:lvl w:ilvl="5" w:tplc="0ABE8EF4" w:tentative="1">
      <w:start w:val="1"/>
      <w:numFmt w:val="lowerRoman"/>
      <w:lvlText w:val="%6."/>
      <w:lvlJc w:val="right"/>
      <w:pPr>
        <w:ind w:left="4102" w:hanging="180"/>
      </w:pPr>
    </w:lvl>
    <w:lvl w:ilvl="6" w:tplc="D35063C2" w:tentative="1">
      <w:start w:val="1"/>
      <w:numFmt w:val="decimal"/>
      <w:lvlText w:val="%7."/>
      <w:lvlJc w:val="left"/>
      <w:pPr>
        <w:ind w:left="4822" w:hanging="360"/>
      </w:pPr>
    </w:lvl>
    <w:lvl w:ilvl="7" w:tplc="6C9612A2" w:tentative="1">
      <w:start w:val="1"/>
      <w:numFmt w:val="lowerLetter"/>
      <w:lvlText w:val="%8."/>
      <w:lvlJc w:val="left"/>
      <w:pPr>
        <w:ind w:left="5542" w:hanging="360"/>
      </w:pPr>
    </w:lvl>
    <w:lvl w:ilvl="8" w:tplc="3100368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1390439"/>
    <w:multiLevelType w:val="hybridMultilevel"/>
    <w:tmpl w:val="C4B6F8B6"/>
    <w:lvl w:ilvl="0" w:tplc="CADE5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4C0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CCD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84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21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343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EF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A2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E8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>
    <w:nsid w:val="6C444030"/>
    <w:multiLevelType w:val="hybridMultilevel"/>
    <w:tmpl w:val="C0C24CF8"/>
    <w:lvl w:ilvl="0" w:tplc="D7E06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EA0BEC" w:tentative="1">
      <w:start w:val="1"/>
      <w:numFmt w:val="lowerLetter"/>
      <w:lvlText w:val="%2."/>
      <w:lvlJc w:val="left"/>
      <w:pPr>
        <w:ind w:left="1440" w:hanging="360"/>
      </w:pPr>
    </w:lvl>
    <w:lvl w:ilvl="2" w:tplc="C5C844D4" w:tentative="1">
      <w:start w:val="1"/>
      <w:numFmt w:val="lowerRoman"/>
      <w:lvlText w:val="%3."/>
      <w:lvlJc w:val="right"/>
      <w:pPr>
        <w:ind w:left="2160" w:hanging="180"/>
      </w:pPr>
    </w:lvl>
    <w:lvl w:ilvl="3" w:tplc="E146E22A" w:tentative="1">
      <w:start w:val="1"/>
      <w:numFmt w:val="decimal"/>
      <w:lvlText w:val="%4."/>
      <w:lvlJc w:val="left"/>
      <w:pPr>
        <w:ind w:left="2880" w:hanging="360"/>
      </w:pPr>
    </w:lvl>
    <w:lvl w:ilvl="4" w:tplc="F4DA01D6" w:tentative="1">
      <w:start w:val="1"/>
      <w:numFmt w:val="lowerLetter"/>
      <w:lvlText w:val="%5."/>
      <w:lvlJc w:val="left"/>
      <w:pPr>
        <w:ind w:left="3600" w:hanging="360"/>
      </w:pPr>
    </w:lvl>
    <w:lvl w:ilvl="5" w:tplc="A78AFF52" w:tentative="1">
      <w:start w:val="1"/>
      <w:numFmt w:val="lowerRoman"/>
      <w:lvlText w:val="%6."/>
      <w:lvlJc w:val="right"/>
      <w:pPr>
        <w:ind w:left="4320" w:hanging="180"/>
      </w:pPr>
    </w:lvl>
    <w:lvl w:ilvl="6" w:tplc="790AF6AA" w:tentative="1">
      <w:start w:val="1"/>
      <w:numFmt w:val="decimal"/>
      <w:lvlText w:val="%7."/>
      <w:lvlJc w:val="left"/>
      <w:pPr>
        <w:ind w:left="5040" w:hanging="360"/>
      </w:pPr>
    </w:lvl>
    <w:lvl w:ilvl="7" w:tplc="7F64AA9C" w:tentative="1">
      <w:start w:val="1"/>
      <w:numFmt w:val="lowerLetter"/>
      <w:lvlText w:val="%8."/>
      <w:lvlJc w:val="left"/>
      <w:pPr>
        <w:ind w:left="5760" w:hanging="360"/>
      </w:pPr>
    </w:lvl>
    <w:lvl w:ilvl="8" w:tplc="B1A0F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16449"/>
    <w:multiLevelType w:val="hybridMultilevel"/>
    <w:tmpl w:val="83200B4A"/>
    <w:lvl w:ilvl="0" w:tplc="BCFE0E1E">
      <w:start w:val="1"/>
      <w:numFmt w:val="lowerLetter"/>
      <w:lvlText w:val="%1)"/>
      <w:lvlJc w:val="left"/>
      <w:pPr>
        <w:ind w:left="720" w:hanging="360"/>
      </w:pPr>
    </w:lvl>
    <w:lvl w:ilvl="1" w:tplc="D4542604" w:tentative="1">
      <w:start w:val="1"/>
      <w:numFmt w:val="lowerLetter"/>
      <w:lvlText w:val="%2."/>
      <w:lvlJc w:val="left"/>
      <w:pPr>
        <w:ind w:left="1440" w:hanging="360"/>
      </w:pPr>
    </w:lvl>
    <w:lvl w:ilvl="2" w:tplc="AF12BDEA" w:tentative="1">
      <w:start w:val="1"/>
      <w:numFmt w:val="lowerRoman"/>
      <w:lvlText w:val="%3."/>
      <w:lvlJc w:val="right"/>
      <w:pPr>
        <w:ind w:left="2160" w:hanging="180"/>
      </w:pPr>
    </w:lvl>
    <w:lvl w:ilvl="3" w:tplc="6834F2A4" w:tentative="1">
      <w:start w:val="1"/>
      <w:numFmt w:val="decimal"/>
      <w:lvlText w:val="%4."/>
      <w:lvlJc w:val="left"/>
      <w:pPr>
        <w:ind w:left="2880" w:hanging="360"/>
      </w:pPr>
    </w:lvl>
    <w:lvl w:ilvl="4" w:tplc="2AA8D768" w:tentative="1">
      <w:start w:val="1"/>
      <w:numFmt w:val="lowerLetter"/>
      <w:lvlText w:val="%5."/>
      <w:lvlJc w:val="left"/>
      <w:pPr>
        <w:ind w:left="3600" w:hanging="360"/>
      </w:pPr>
    </w:lvl>
    <w:lvl w:ilvl="5" w:tplc="2DD48CA8" w:tentative="1">
      <w:start w:val="1"/>
      <w:numFmt w:val="lowerRoman"/>
      <w:lvlText w:val="%6."/>
      <w:lvlJc w:val="right"/>
      <w:pPr>
        <w:ind w:left="4320" w:hanging="180"/>
      </w:pPr>
    </w:lvl>
    <w:lvl w:ilvl="6" w:tplc="75108620" w:tentative="1">
      <w:start w:val="1"/>
      <w:numFmt w:val="decimal"/>
      <w:lvlText w:val="%7."/>
      <w:lvlJc w:val="left"/>
      <w:pPr>
        <w:ind w:left="5040" w:hanging="360"/>
      </w:pPr>
    </w:lvl>
    <w:lvl w:ilvl="7" w:tplc="1568744A" w:tentative="1">
      <w:start w:val="1"/>
      <w:numFmt w:val="lowerLetter"/>
      <w:lvlText w:val="%8."/>
      <w:lvlJc w:val="left"/>
      <w:pPr>
        <w:ind w:left="5760" w:hanging="360"/>
      </w:pPr>
    </w:lvl>
    <w:lvl w:ilvl="8" w:tplc="BD18D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6069"/>
    <w:multiLevelType w:val="hybridMultilevel"/>
    <w:tmpl w:val="2924CE7E"/>
    <w:lvl w:ilvl="0" w:tplc="FA1CA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CC4238" w:tentative="1">
      <w:start w:val="1"/>
      <w:numFmt w:val="lowerLetter"/>
      <w:lvlText w:val="%2."/>
      <w:lvlJc w:val="left"/>
      <w:pPr>
        <w:ind w:left="1440" w:hanging="360"/>
      </w:pPr>
    </w:lvl>
    <w:lvl w:ilvl="2" w:tplc="B128F5A4" w:tentative="1">
      <w:start w:val="1"/>
      <w:numFmt w:val="lowerRoman"/>
      <w:lvlText w:val="%3."/>
      <w:lvlJc w:val="right"/>
      <w:pPr>
        <w:ind w:left="2160" w:hanging="180"/>
      </w:pPr>
    </w:lvl>
    <w:lvl w:ilvl="3" w:tplc="4EA8EFF0" w:tentative="1">
      <w:start w:val="1"/>
      <w:numFmt w:val="decimal"/>
      <w:lvlText w:val="%4."/>
      <w:lvlJc w:val="left"/>
      <w:pPr>
        <w:ind w:left="2880" w:hanging="360"/>
      </w:pPr>
    </w:lvl>
    <w:lvl w:ilvl="4" w:tplc="7E340DD0" w:tentative="1">
      <w:start w:val="1"/>
      <w:numFmt w:val="lowerLetter"/>
      <w:lvlText w:val="%5."/>
      <w:lvlJc w:val="left"/>
      <w:pPr>
        <w:ind w:left="3600" w:hanging="360"/>
      </w:pPr>
    </w:lvl>
    <w:lvl w:ilvl="5" w:tplc="5668398C" w:tentative="1">
      <w:start w:val="1"/>
      <w:numFmt w:val="lowerRoman"/>
      <w:lvlText w:val="%6."/>
      <w:lvlJc w:val="right"/>
      <w:pPr>
        <w:ind w:left="4320" w:hanging="180"/>
      </w:pPr>
    </w:lvl>
    <w:lvl w:ilvl="6" w:tplc="3118DEF6" w:tentative="1">
      <w:start w:val="1"/>
      <w:numFmt w:val="decimal"/>
      <w:lvlText w:val="%7."/>
      <w:lvlJc w:val="left"/>
      <w:pPr>
        <w:ind w:left="5040" w:hanging="360"/>
      </w:pPr>
    </w:lvl>
    <w:lvl w:ilvl="7" w:tplc="0C5C8548" w:tentative="1">
      <w:start w:val="1"/>
      <w:numFmt w:val="lowerLetter"/>
      <w:lvlText w:val="%8."/>
      <w:lvlJc w:val="left"/>
      <w:pPr>
        <w:ind w:left="5760" w:hanging="360"/>
      </w:pPr>
    </w:lvl>
    <w:lvl w:ilvl="8" w:tplc="C3761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35521"/>
    <w:multiLevelType w:val="hybridMultilevel"/>
    <w:tmpl w:val="F6AE24EA"/>
    <w:lvl w:ilvl="0" w:tplc="CC2681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38A15D0" w:tentative="1">
      <w:start w:val="1"/>
      <w:numFmt w:val="lowerLetter"/>
      <w:lvlText w:val="%2."/>
      <w:lvlJc w:val="left"/>
      <w:pPr>
        <w:ind w:left="1440" w:hanging="360"/>
      </w:pPr>
    </w:lvl>
    <w:lvl w:ilvl="2" w:tplc="3FA88B88" w:tentative="1">
      <w:start w:val="1"/>
      <w:numFmt w:val="lowerRoman"/>
      <w:lvlText w:val="%3."/>
      <w:lvlJc w:val="right"/>
      <w:pPr>
        <w:ind w:left="2160" w:hanging="180"/>
      </w:pPr>
    </w:lvl>
    <w:lvl w:ilvl="3" w:tplc="83861464" w:tentative="1">
      <w:start w:val="1"/>
      <w:numFmt w:val="decimal"/>
      <w:lvlText w:val="%4."/>
      <w:lvlJc w:val="left"/>
      <w:pPr>
        <w:ind w:left="2880" w:hanging="360"/>
      </w:pPr>
    </w:lvl>
    <w:lvl w:ilvl="4" w:tplc="B96625FA" w:tentative="1">
      <w:start w:val="1"/>
      <w:numFmt w:val="lowerLetter"/>
      <w:lvlText w:val="%5."/>
      <w:lvlJc w:val="left"/>
      <w:pPr>
        <w:ind w:left="3600" w:hanging="360"/>
      </w:pPr>
    </w:lvl>
    <w:lvl w:ilvl="5" w:tplc="3682A83C" w:tentative="1">
      <w:start w:val="1"/>
      <w:numFmt w:val="lowerRoman"/>
      <w:lvlText w:val="%6."/>
      <w:lvlJc w:val="right"/>
      <w:pPr>
        <w:ind w:left="4320" w:hanging="180"/>
      </w:pPr>
    </w:lvl>
    <w:lvl w:ilvl="6" w:tplc="948C2820" w:tentative="1">
      <w:start w:val="1"/>
      <w:numFmt w:val="decimal"/>
      <w:lvlText w:val="%7."/>
      <w:lvlJc w:val="left"/>
      <w:pPr>
        <w:ind w:left="5040" w:hanging="360"/>
      </w:pPr>
    </w:lvl>
    <w:lvl w:ilvl="7" w:tplc="B73648EE" w:tentative="1">
      <w:start w:val="1"/>
      <w:numFmt w:val="lowerLetter"/>
      <w:lvlText w:val="%8."/>
      <w:lvlJc w:val="left"/>
      <w:pPr>
        <w:ind w:left="5760" w:hanging="360"/>
      </w:pPr>
    </w:lvl>
    <w:lvl w:ilvl="8" w:tplc="40DED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938EB"/>
    <w:multiLevelType w:val="hybridMultilevel"/>
    <w:tmpl w:val="7B04D2F8"/>
    <w:lvl w:ilvl="0" w:tplc="762E2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CE430E" w:tentative="1">
      <w:start w:val="1"/>
      <w:numFmt w:val="lowerLetter"/>
      <w:lvlText w:val="%2."/>
      <w:lvlJc w:val="left"/>
      <w:pPr>
        <w:ind w:left="1440" w:hanging="360"/>
      </w:pPr>
    </w:lvl>
    <w:lvl w:ilvl="2" w:tplc="017AF1CA" w:tentative="1">
      <w:start w:val="1"/>
      <w:numFmt w:val="lowerRoman"/>
      <w:lvlText w:val="%3."/>
      <w:lvlJc w:val="right"/>
      <w:pPr>
        <w:ind w:left="2160" w:hanging="180"/>
      </w:pPr>
    </w:lvl>
    <w:lvl w:ilvl="3" w:tplc="8D267596" w:tentative="1">
      <w:start w:val="1"/>
      <w:numFmt w:val="decimal"/>
      <w:lvlText w:val="%4."/>
      <w:lvlJc w:val="left"/>
      <w:pPr>
        <w:ind w:left="2880" w:hanging="360"/>
      </w:pPr>
    </w:lvl>
    <w:lvl w:ilvl="4" w:tplc="919A3B50" w:tentative="1">
      <w:start w:val="1"/>
      <w:numFmt w:val="lowerLetter"/>
      <w:lvlText w:val="%5."/>
      <w:lvlJc w:val="left"/>
      <w:pPr>
        <w:ind w:left="3600" w:hanging="360"/>
      </w:pPr>
    </w:lvl>
    <w:lvl w:ilvl="5" w:tplc="C45A4E1A" w:tentative="1">
      <w:start w:val="1"/>
      <w:numFmt w:val="lowerRoman"/>
      <w:lvlText w:val="%6."/>
      <w:lvlJc w:val="right"/>
      <w:pPr>
        <w:ind w:left="4320" w:hanging="180"/>
      </w:pPr>
    </w:lvl>
    <w:lvl w:ilvl="6" w:tplc="CE3ED862" w:tentative="1">
      <w:start w:val="1"/>
      <w:numFmt w:val="decimal"/>
      <w:lvlText w:val="%7."/>
      <w:lvlJc w:val="left"/>
      <w:pPr>
        <w:ind w:left="5040" w:hanging="360"/>
      </w:pPr>
    </w:lvl>
    <w:lvl w:ilvl="7" w:tplc="C7E88BC4" w:tentative="1">
      <w:start w:val="1"/>
      <w:numFmt w:val="lowerLetter"/>
      <w:lvlText w:val="%8."/>
      <w:lvlJc w:val="left"/>
      <w:pPr>
        <w:ind w:left="5760" w:hanging="360"/>
      </w:pPr>
    </w:lvl>
    <w:lvl w:ilvl="8" w:tplc="72382B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ovotný2 Karel">
    <w15:presenceInfo w15:providerId="AD" w15:userId="S-1-5-21-62665781-585388918-1256796775-24321"/>
  </w15:person>
  <w15:person w15:author="Páleníková Hana">
    <w15:presenceInfo w15:providerId="AD" w15:userId="S-1-5-21-62665781-585388918-1256796775-25444"/>
  </w15:person>
  <w15:person w15:author="Čižmárik Miroslav">
    <w15:presenceInfo w15:providerId="AD" w15:userId="S-1-5-21-62665781-585388918-1256796775-24428"/>
  </w15:person>
  <w15:person w15:author="Hlaváč Daniel">
    <w15:presenceInfo w15:providerId="AD" w15:userId="S-1-5-21-62665781-585388918-1256796775-2743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F8B"/>
    <w:rsid w:val="0001135D"/>
    <w:rsid w:val="00017387"/>
    <w:rsid w:val="00017AD8"/>
    <w:rsid w:val="00032170"/>
    <w:rsid w:val="000605C0"/>
    <w:rsid w:val="0006263A"/>
    <w:rsid w:val="00067CD4"/>
    <w:rsid w:val="00082D29"/>
    <w:rsid w:val="000D5700"/>
    <w:rsid w:val="00112540"/>
    <w:rsid w:val="001125F0"/>
    <w:rsid w:val="00145662"/>
    <w:rsid w:val="00153CD5"/>
    <w:rsid w:val="00213910"/>
    <w:rsid w:val="002467CE"/>
    <w:rsid w:val="002E5A57"/>
    <w:rsid w:val="00324BCF"/>
    <w:rsid w:val="00341398"/>
    <w:rsid w:val="00351810"/>
    <w:rsid w:val="0035470A"/>
    <w:rsid w:val="0035599C"/>
    <w:rsid w:val="00365501"/>
    <w:rsid w:val="00386D0F"/>
    <w:rsid w:val="003B020F"/>
    <w:rsid w:val="003E0388"/>
    <w:rsid w:val="003E3C10"/>
    <w:rsid w:val="003F7732"/>
    <w:rsid w:val="00416DF3"/>
    <w:rsid w:val="004218D4"/>
    <w:rsid w:val="00430471"/>
    <w:rsid w:val="00434235"/>
    <w:rsid w:val="004452C0"/>
    <w:rsid w:val="0047190D"/>
    <w:rsid w:val="004A25BB"/>
    <w:rsid w:val="004C32B6"/>
    <w:rsid w:val="004F2B74"/>
    <w:rsid w:val="005434A8"/>
    <w:rsid w:val="00553445"/>
    <w:rsid w:val="00563732"/>
    <w:rsid w:val="00573355"/>
    <w:rsid w:val="005A68A8"/>
    <w:rsid w:val="005B570A"/>
    <w:rsid w:val="005D22A8"/>
    <w:rsid w:val="005D2EE8"/>
    <w:rsid w:val="00600A55"/>
    <w:rsid w:val="006032CF"/>
    <w:rsid w:val="006055CD"/>
    <w:rsid w:val="00644EE7"/>
    <w:rsid w:val="00667258"/>
    <w:rsid w:val="006840C0"/>
    <w:rsid w:val="006D125A"/>
    <w:rsid w:val="006E3D48"/>
    <w:rsid w:val="006F0885"/>
    <w:rsid w:val="006F4857"/>
    <w:rsid w:val="0070402B"/>
    <w:rsid w:val="00712D07"/>
    <w:rsid w:val="00756A9E"/>
    <w:rsid w:val="00781C9B"/>
    <w:rsid w:val="00786F00"/>
    <w:rsid w:val="007B5B89"/>
    <w:rsid w:val="007E188C"/>
    <w:rsid w:val="00823A07"/>
    <w:rsid w:val="00834691"/>
    <w:rsid w:val="008379B0"/>
    <w:rsid w:val="008510CE"/>
    <w:rsid w:val="00866A40"/>
    <w:rsid w:val="008861A1"/>
    <w:rsid w:val="008B7129"/>
    <w:rsid w:val="009100D4"/>
    <w:rsid w:val="00926E74"/>
    <w:rsid w:val="0096282C"/>
    <w:rsid w:val="00970C2B"/>
    <w:rsid w:val="009A5210"/>
    <w:rsid w:val="009C411D"/>
    <w:rsid w:val="009C5920"/>
    <w:rsid w:val="00A233E2"/>
    <w:rsid w:val="00A65BF3"/>
    <w:rsid w:val="00AB097D"/>
    <w:rsid w:val="00AB78B6"/>
    <w:rsid w:val="00AC434C"/>
    <w:rsid w:val="00AF6FB3"/>
    <w:rsid w:val="00AF782B"/>
    <w:rsid w:val="00B15D27"/>
    <w:rsid w:val="00B230D8"/>
    <w:rsid w:val="00B3108F"/>
    <w:rsid w:val="00B42812"/>
    <w:rsid w:val="00B60D77"/>
    <w:rsid w:val="00B73E2E"/>
    <w:rsid w:val="00BA4863"/>
    <w:rsid w:val="00BB2E9E"/>
    <w:rsid w:val="00BD4D52"/>
    <w:rsid w:val="00C02E30"/>
    <w:rsid w:val="00C03643"/>
    <w:rsid w:val="00C34182"/>
    <w:rsid w:val="00C74358"/>
    <w:rsid w:val="00CA73F6"/>
    <w:rsid w:val="00CB00E5"/>
    <w:rsid w:val="00CC397E"/>
    <w:rsid w:val="00CD02E3"/>
    <w:rsid w:val="00CD0CAD"/>
    <w:rsid w:val="00CD4456"/>
    <w:rsid w:val="00CD6F28"/>
    <w:rsid w:val="00CF465C"/>
    <w:rsid w:val="00D30DEB"/>
    <w:rsid w:val="00D62E85"/>
    <w:rsid w:val="00D868AA"/>
    <w:rsid w:val="00DB13DA"/>
    <w:rsid w:val="00DB162F"/>
    <w:rsid w:val="00DC4495"/>
    <w:rsid w:val="00DD2911"/>
    <w:rsid w:val="00DF0482"/>
    <w:rsid w:val="00E17873"/>
    <w:rsid w:val="00E21605"/>
    <w:rsid w:val="00E234AE"/>
    <w:rsid w:val="00E33763"/>
    <w:rsid w:val="00E4282A"/>
    <w:rsid w:val="00E45B79"/>
    <w:rsid w:val="00E73D9B"/>
    <w:rsid w:val="00E77494"/>
    <w:rsid w:val="00EB1B92"/>
    <w:rsid w:val="00ED2877"/>
    <w:rsid w:val="00ED3451"/>
    <w:rsid w:val="00F2316D"/>
    <w:rsid w:val="00F4692D"/>
    <w:rsid w:val="00F509A7"/>
    <w:rsid w:val="00F70159"/>
    <w:rsid w:val="00F81FD5"/>
    <w:rsid w:val="00F82D77"/>
    <w:rsid w:val="00FA1ECB"/>
    <w:rsid w:val="00FB24CF"/>
    <w:rsid w:val="00FC5560"/>
    <w:rsid w:val="00FD09E4"/>
    <w:rsid w:val="00FD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F8036-B8EC-45A3-9A86-6D1BA49D8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E60013-6E6F-4B5F-A574-816671231F5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>HP Inc.</Company>
  <LinksUpToDate>false</LinksUpToDate>
  <CharactersWithSpaces>12135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dc:creator>Akvizice</dc:creator>
  <cp:lastModifiedBy>Akvizice</cp:lastModifiedBy>
  <cp:revision>2</cp:revision>
  <dcterms:created xsi:type="dcterms:W3CDTF">2021-02-02T12:29:00Z</dcterms:created>
  <dcterms:modified xsi:type="dcterms:W3CDTF">2021-02-02T12:29:00Z</dcterms:modified>
</cp:coreProperties>
</file>