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03D" w:rsidRPr="007E0E55" w:rsidRDefault="006D403D" w:rsidP="006D403D">
      <w:pPr>
        <w:jc w:val="center"/>
        <w:rPr>
          <w:rFonts w:ascii="Century Gothic" w:hAnsi="Century Gothic"/>
          <w:b/>
          <w:sz w:val="28"/>
          <w:szCs w:val="28"/>
        </w:rPr>
      </w:pPr>
      <w:r w:rsidRPr="007E0E55">
        <w:rPr>
          <w:rFonts w:ascii="Century Gothic" w:hAnsi="Century Gothic"/>
          <w:b/>
          <w:sz w:val="28"/>
          <w:szCs w:val="28"/>
        </w:rPr>
        <w:t xml:space="preserve">Příloha č. </w:t>
      </w:r>
      <w:r>
        <w:rPr>
          <w:rFonts w:ascii="Century Gothic" w:hAnsi="Century Gothic"/>
          <w:b/>
          <w:sz w:val="28"/>
          <w:szCs w:val="28"/>
        </w:rPr>
        <w:t>2</w:t>
      </w:r>
      <w:r w:rsidRPr="007E0E55">
        <w:rPr>
          <w:rFonts w:ascii="Century Gothic" w:hAnsi="Century Gothic"/>
          <w:b/>
          <w:sz w:val="28"/>
          <w:szCs w:val="28"/>
        </w:rPr>
        <w:t xml:space="preserve"> zadávací dokumentace</w:t>
      </w:r>
    </w:p>
    <w:p w:rsidR="006D403D" w:rsidRPr="006D403D" w:rsidRDefault="006D403D" w:rsidP="006D403D">
      <w:pPr>
        <w:jc w:val="center"/>
        <w:rPr>
          <w:rFonts w:ascii="Century Gothic" w:hAnsi="Century Gothic"/>
          <w:b/>
          <w:sz w:val="28"/>
          <w:szCs w:val="28"/>
        </w:rPr>
      </w:pPr>
      <w:r w:rsidRPr="006D403D">
        <w:rPr>
          <w:rFonts w:ascii="Century Gothic" w:hAnsi="Century Gothic"/>
          <w:b/>
          <w:sz w:val="28"/>
          <w:szCs w:val="28"/>
        </w:rPr>
        <w:t>Vzor čestného prohlášení k prokázání splnění kvalifikace</w:t>
      </w:r>
    </w:p>
    <w:p w:rsidR="006D403D" w:rsidRPr="004F3D43" w:rsidRDefault="006D403D" w:rsidP="006D403D">
      <w:pPr>
        <w:spacing w:after="0"/>
        <w:rPr>
          <w:sz w:val="24"/>
          <w:szCs w:val="24"/>
        </w:rPr>
      </w:pPr>
    </w:p>
    <w:p w:rsidR="006D403D" w:rsidRPr="006D403D" w:rsidRDefault="006D403D" w:rsidP="006D403D">
      <w:pPr>
        <w:spacing w:line="270" w:lineRule="exact"/>
        <w:jc w:val="both"/>
        <w:rPr>
          <w:rFonts w:ascii="Century Gothic" w:hAnsi="Century Gothic" w:cs="Calibri"/>
          <w:sz w:val="20"/>
          <w:szCs w:val="20"/>
        </w:rPr>
      </w:pPr>
      <w:r w:rsidRPr="006D403D">
        <w:rPr>
          <w:rFonts w:ascii="Century Gothic" w:hAnsi="Century Gothic" w:cs="Calibri"/>
          <w:sz w:val="20"/>
          <w:szCs w:val="20"/>
        </w:rPr>
        <w:t xml:space="preserve">Účastník: </w:t>
      </w:r>
      <w:r w:rsidRPr="006D403D">
        <w:rPr>
          <w:rFonts w:ascii="Century Gothic" w:hAnsi="Century Gothic" w:cs="Calibri"/>
          <w:sz w:val="20"/>
          <w:szCs w:val="20"/>
        </w:rPr>
        <w:tab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t>DOPLNÍ DODAVATEL</w:t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6D403D" w:rsidRPr="006D403D" w:rsidRDefault="006D403D" w:rsidP="006D403D">
      <w:pPr>
        <w:spacing w:line="270" w:lineRule="exact"/>
        <w:jc w:val="both"/>
        <w:rPr>
          <w:rFonts w:ascii="Century Gothic" w:hAnsi="Century Gothic" w:cs="Calibri"/>
          <w:sz w:val="20"/>
          <w:szCs w:val="20"/>
        </w:rPr>
      </w:pPr>
      <w:r w:rsidRPr="006D403D">
        <w:rPr>
          <w:rFonts w:ascii="Century Gothic" w:hAnsi="Century Gothic" w:cs="Calibri"/>
          <w:sz w:val="20"/>
          <w:szCs w:val="20"/>
        </w:rPr>
        <w:t xml:space="preserve">IČO/DIČ: </w:t>
      </w:r>
      <w:r w:rsidRPr="006D403D">
        <w:rPr>
          <w:rFonts w:ascii="Century Gothic" w:hAnsi="Century Gothic" w:cs="Calibri"/>
          <w:sz w:val="20"/>
          <w:szCs w:val="20"/>
        </w:rPr>
        <w:tab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t>DOPLNÍ DODAVATEL</w:t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6D403D" w:rsidRPr="006D403D" w:rsidRDefault="006D403D" w:rsidP="006D403D">
      <w:pPr>
        <w:spacing w:line="270" w:lineRule="exact"/>
        <w:jc w:val="both"/>
        <w:rPr>
          <w:rFonts w:ascii="Century Gothic" w:hAnsi="Century Gothic" w:cs="Calibri"/>
          <w:sz w:val="20"/>
          <w:szCs w:val="20"/>
        </w:rPr>
      </w:pPr>
      <w:r w:rsidRPr="006D403D">
        <w:rPr>
          <w:rFonts w:ascii="Century Gothic" w:hAnsi="Century Gothic" w:cs="Calibri"/>
          <w:sz w:val="20"/>
          <w:szCs w:val="20"/>
        </w:rPr>
        <w:t xml:space="preserve">se sídlem: </w:t>
      </w:r>
      <w:r w:rsidRPr="006D403D">
        <w:rPr>
          <w:rFonts w:ascii="Century Gothic" w:hAnsi="Century Gothic" w:cs="Calibri"/>
          <w:sz w:val="20"/>
          <w:szCs w:val="20"/>
        </w:rPr>
        <w:tab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t>DOPLNÍ DODAVATEL</w:t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6D403D" w:rsidRPr="006D403D" w:rsidRDefault="006D403D" w:rsidP="006D403D">
      <w:pPr>
        <w:spacing w:after="0"/>
        <w:rPr>
          <w:rFonts w:ascii="Century Gothic" w:hAnsi="Century Gothic" w:cs="Calibri"/>
          <w:sz w:val="20"/>
          <w:szCs w:val="20"/>
        </w:rPr>
      </w:pPr>
      <w:r w:rsidRPr="006D403D">
        <w:rPr>
          <w:rFonts w:ascii="Century Gothic" w:hAnsi="Century Gothic" w:cs="Calibri"/>
          <w:sz w:val="20"/>
          <w:szCs w:val="20"/>
        </w:rPr>
        <w:t xml:space="preserve">jednající: </w:t>
      </w:r>
      <w:r w:rsidRPr="006D403D">
        <w:rPr>
          <w:rFonts w:ascii="Century Gothic" w:hAnsi="Century Gothic" w:cs="Calibri"/>
          <w:sz w:val="20"/>
          <w:szCs w:val="20"/>
        </w:rPr>
        <w:tab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t>DOPLNÍ DODAVATEL</w:t>
      </w:r>
      <w:r w:rsidR="00023B48"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6D403D" w:rsidRPr="006D403D" w:rsidRDefault="006D403D" w:rsidP="006D403D">
      <w:pPr>
        <w:spacing w:after="0"/>
        <w:rPr>
          <w:rFonts w:ascii="Century Gothic" w:hAnsi="Century Gothic" w:cs="Calibri"/>
          <w:sz w:val="20"/>
          <w:szCs w:val="20"/>
        </w:rPr>
      </w:pPr>
    </w:p>
    <w:p w:rsidR="006D403D" w:rsidRPr="006D403D" w:rsidRDefault="006D403D" w:rsidP="006D403D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6D403D">
        <w:rPr>
          <w:rFonts w:ascii="Century Gothic" w:hAnsi="Century Gothic"/>
          <w:sz w:val="20"/>
          <w:szCs w:val="20"/>
        </w:rPr>
        <w:t xml:space="preserve">jako dodavatel veřejné zakázky s názvem </w:t>
      </w:r>
    </w:p>
    <w:p w:rsidR="006D403D" w:rsidRPr="009F6590" w:rsidRDefault="006D403D" w:rsidP="00736110">
      <w:pPr>
        <w:spacing w:after="0"/>
        <w:jc w:val="center"/>
        <w:rPr>
          <w:rFonts w:ascii="Century Gothic" w:hAnsi="Century Gothic" w:cs="Calibri"/>
          <w:b/>
          <w:sz w:val="25"/>
          <w:szCs w:val="25"/>
        </w:rPr>
      </w:pPr>
      <w:r w:rsidRPr="009F6590">
        <w:rPr>
          <w:rFonts w:ascii="Century Gothic" w:hAnsi="Century Gothic" w:cs="Calibri"/>
          <w:b/>
          <w:sz w:val="25"/>
          <w:szCs w:val="25"/>
        </w:rPr>
        <w:t>„</w:t>
      </w:r>
      <w:r w:rsidR="009F6590" w:rsidRPr="009F6590">
        <w:rPr>
          <w:rFonts w:ascii="Century Gothic" w:hAnsi="Century Gothic" w:cs="Calibri"/>
          <w:b/>
          <w:sz w:val="25"/>
          <w:szCs w:val="25"/>
        </w:rPr>
        <w:t>Fyzická ostraha a recepční služba areálu Zimního stadionu města Plzně</w:t>
      </w:r>
      <w:r w:rsidRPr="009F6590">
        <w:rPr>
          <w:rFonts w:ascii="Century Gothic" w:hAnsi="Century Gothic" w:cs="Calibri"/>
          <w:b/>
          <w:sz w:val="25"/>
          <w:szCs w:val="25"/>
        </w:rPr>
        <w:t>“</w:t>
      </w:r>
    </w:p>
    <w:p w:rsidR="006D403D" w:rsidRPr="006D403D" w:rsidRDefault="006D403D" w:rsidP="006D403D">
      <w:pPr>
        <w:spacing w:after="0"/>
        <w:rPr>
          <w:rFonts w:ascii="Century Gothic" w:hAnsi="Century Gothic" w:cs="Calibri"/>
          <w:b/>
          <w:sz w:val="20"/>
          <w:szCs w:val="20"/>
        </w:rPr>
      </w:pPr>
    </w:p>
    <w:p w:rsidR="006D403D" w:rsidRPr="006D403D" w:rsidRDefault="006D403D" w:rsidP="006D403D">
      <w:pPr>
        <w:spacing w:after="0"/>
        <w:rPr>
          <w:rFonts w:ascii="Century Gothic" w:hAnsi="Century Gothic" w:cs="Calibri"/>
          <w:sz w:val="20"/>
          <w:szCs w:val="20"/>
        </w:rPr>
      </w:pPr>
      <w:r w:rsidRPr="006D403D">
        <w:rPr>
          <w:rFonts w:ascii="Century Gothic" w:hAnsi="Century Gothic" w:cs="Calibri"/>
          <w:sz w:val="20"/>
          <w:szCs w:val="20"/>
        </w:rPr>
        <w:t>tímto čestně prohlašuje, že</w:t>
      </w:r>
    </w:p>
    <w:p w:rsidR="006D403D" w:rsidRPr="006D403D" w:rsidRDefault="006D403D" w:rsidP="006D403D">
      <w:pPr>
        <w:spacing w:after="0"/>
        <w:rPr>
          <w:rFonts w:ascii="Century Gothic" w:hAnsi="Century Gothic" w:cs="Calibri"/>
          <w:sz w:val="20"/>
          <w:szCs w:val="20"/>
        </w:rPr>
      </w:pPr>
    </w:p>
    <w:p w:rsidR="006D403D" w:rsidRPr="006D403D" w:rsidRDefault="006D403D" w:rsidP="006D403D">
      <w:pPr>
        <w:pStyle w:val="Styl"/>
        <w:numPr>
          <w:ilvl w:val="0"/>
          <w:numId w:val="7"/>
        </w:numPr>
        <w:tabs>
          <w:tab w:val="left" w:pos="426"/>
          <w:tab w:val="left" w:pos="1985"/>
        </w:tabs>
        <w:spacing w:line="273" w:lineRule="exact"/>
        <w:ind w:left="714" w:right="142" w:hanging="357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6D403D">
        <w:rPr>
          <w:rFonts w:ascii="Century Gothic" w:hAnsi="Century Gothic" w:cs="Calibri"/>
          <w:color w:val="010000"/>
          <w:sz w:val="20"/>
          <w:szCs w:val="20"/>
        </w:rPr>
        <w:t xml:space="preserve">nebyl v zemi svého sídla v posledních 5 letech před zahájením zadávacího řízení pravomocně odsouzen pro trestný čin uvedený v příloze č. 3 zákona č. 134/2016 Sb., o zadávání veřejných zakázek, </w:t>
      </w:r>
      <w:r>
        <w:rPr>
          <w:rFonts w:ascii="Century Gothic" w:hAnsi="Century Gothic" w:cs="Calibri"/>
          <w:color w:val="010000"/>
          <w:sz w:val="20"/>
          <w:szCs w:val="20"/>
        </w:rPr>
        <w:t xml:space="preserve">ve znění pozdějších předpisů (dále jen „zákon“), </w:t>
      </w:r>
      <w:r w:rsidRPr="006D403D">
        <w:rPr>
          <w:rFonts w:ascii="Century Gothic" w:hAnsi="Century Gothic" w:cs="Calibri"/>
          <w:color w:val="010000"/>
          <w:sz w:val="20"/>
          <w:szCs w:val="20"/>
        </w:rPr>
        <w:t xml:space="preserve">nebo obdobný trestný čin podle právního řádu země sídla účastníka; k zahlazeným odsouzením se nepřihlíží (Je-li dodavatelem právnická osoba, podmínku dle bodu a) tohoto odstavce splňuje tato právnická osoba a zároveň každý člen statutárního orgánu. Je-li členem statutárního orgánu dodavatele právnická osoba, podmínku dle bodu a) tohoto odstavce splňuje tato právnická osoba, každý člen statutárního orgánu této právnické osoby a osoba zastupující tuto právnickou osobu </w:t>
      </w:r>
      <w:r>
        <w:rPr>
          <w:rFonts w:ascii="Century Gothic" w:hAnsi="Century Gothic" w:cs="Calibri"/>
          <w:color w:val="010000"/>
          <w:sz w:val="20"/>
          <w:szCs w:val="20"/>
        </w:rPr>
        <w:t>v statutárním orgánu dodavatele</w:t>
      </w:r>
      <w:r w:rsidRPr="006D403D">
        <w:rPr>
          <w:rFonts w:ascii="Century Gothic" w:hAnsi="Century Gothic" w:cs="Calibri"/>
          <w:color w:val="010000"/>
          <w:sz w:val="20"/>
          <w:szCs w:val="20"/>
        </w:rPr>
        <w:t xml:space="preserve"> – viz § 74 odst. 2 zákona.),</w:t>
      </w:r>
    </w:p>
    <w:p w:rsidR="006D403D" w:rsidRPr="006D403D" w:rsidRDefault="006D403D" w:rsidP="006D403D">
      <w:pPr>
        <w:pStyle w:val="Styl"/>
        <w:numPr>
          <w:ilvl w:val="0"/>
          <w:numId w:val="7"/>
        </w:numPr>
        <w:tabs>
          <w:tab w:val="left" w:pos="426"/>
          <w:tab w:val="left" w:pos="1985"/>
        </w:tabs>
        <w:spacing w:line="273" w:lineRule="exact"/>
        <w:ind w:left="714" w:right="142" w:hanging="357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6D403D">
        <w:rPr>
          <w:rFonts w:ascii="Century Gothic" w:hAnsi="Century Gothic" w:cs="Calibri"/>
          <w:color w:val="010000"/>
          <w:sz w:val="20"/>
          <w:szCs w:val="20"/>
        </w:rPr>
        <w:t>nemá v České republice nebo v zemi svého sídla v evidenci daní zachycen splatný daňový nedoplatek, a to ani ve vztahu ke spotřební dani,</w:t>
      </w:r>
    </w:p>
    <w:p w:rsidR="006D403D" w:rsidRPr="006D403D" w:rsidRDefault="006D403D" w:rsidP="006D403D">
      <w:pPr>
        <w:pStyle w:val="Styl"/>
        <w:numPr>
          <w:ilvl w:val="0"/>
          <w:numId w:val="7"/>
        </w:numPr>
        <w:tabs>
          <w:tab w:val="left" w:pos="426"/>
          <w:tab w:val="left" w:pos="1985"/>
        </w:tabs>
        <w:spacing w:line="273" w:lineRule="exact"/>
        <w:ind w:left="714" w:right="142" w:hanging="357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6D403D">
        <w:rPr>
          <w:rFonts w:ascii="Century Gothic" w:hAnsi="Century Gothic" w:cs="Calibri"/>
          <w:color w:val="010000"/>
          <w:sz w:val="20"/>
          <w:szCs w:val="20"/>
        </w:rPr>
        <w:t>nemá v České republice nebo v zemi svého sídla splatný nedoplatek na pojistném nebo na penále na veřejné zdravotní pojištění,</w:t>
      </w:r>
    </w:p>
    <w:p w:rsidR="006D403D" w:rsidRPr="006D403D" w:rsidRDefault="006D403D" w:rsidP="006D403D">
      <w:pPr>
        <w:pStyle w:val="Styl"/>
        <w:numPr>
          <w:ilvl w:val="0"/>
          <w:numId w:val="7"/>
        </w:numPr>
        <w:tabs>
          <w:tab w:val="left" w:pos="426"/>
          <w:tab w:val="left" w:pos="1985"/>
        </w:tabs>
        <w:spacing w:line="273" w:lineRule="exact"/>
        <w:ind w:left="714" w:right="142" w:hanging="357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6D403D">
        <w:rPr>
          <w:rFonts w:ascii="Century Gothic" w:hAnsi="Century Gothic" w:cs="Calibri"/>
          <w:color w:val="010000"/>
          <w:sz w:val="20"/>
          <w:szCs w:val="20"/>
        </w:rPr>
        <w:t>nemá v České republice nebo v zemi svého sídla splatný nedoplatek na pojistném nebo na penále na sociální zabezpečení a příspěvku na státní politiku zaměstnanosti,</w:t>
      </w:r>
    </w:p>
    <w:p w:rsidR="006D403D" w:rsidRPr="006D403D" w:rsidRDefault="006D403D" w:rsidP="006D403D">
      <w:pPr>
        <w:pStyle w:val="Styl"/>
        <w:numPr>
          <w:ilvl w:val="0"/>
          <w:numId w:val="7"/>
        </w:numPr>
        <w:tabs>
          <w:tab w:val="left" w:pos="426"/>
          <w:tab w:val="left" w:pos="1985"/>
        </w:tabs>
        <w:spacing w:line="273" w:lineRule="exact"/>
        <w:ind w:left="714" w:right="142" w:hanging="357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6D403D">
        <w:rPr>
          <w:rFonts w:ascii="Century Gothic" w:hAnsi="Century Gothic" w:cs="Calibri"/>
          <w:color w:val="010000"/>
          <w:sz w:val="20"/>
          <w:szCs w:val="20"/>
        </w:rPr>
        <w:t>není v likvidaci, nebylo proti němu vydáno rozhodnutí o úpadku, nebyla vůči němu nařízena nucená správa podle jiného právního předpisu nebo v obdobné situaci podle právního řádu země sídla dodavatele.</w:t>
      </w:r>
    </w:p>
    <w:p w:rsidR="006D403D" w:rsidRDefault="006D403D" w:rsidP="006D403D">
      <w:pPr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6D403D" w:rsidRDefault="006D403D" w:rsidP="006D403D">
      <w:pPr>
        <w:spacing w:after="0"/>
        <w:ind w:left="357"/>
        <w:jc w:val="both"/>
        <w:rPr>
          <w:rFonts w:ascii="Century Gothic" w:hAnsi="Century Gothic" w:cs="Calibri"/>
          <w:b/>
          <w:sz w:val="20"/>
          <w:szCs w:val="20"/>
        </w:rPr>
      </w:pPr>
      <w:r w:rsidRPr="006D403D">
        <w:rPr>
          <w:rFonts w:ascii="Century Gothic" w:hAnsi="Century Gothic" w:cs="Calibri"/>
          <w:b/>
          <w:sz w:val="20"/>
          <w:szCs w:val="20"/>
        </w:rPr>
        <w:t>P</w:t>
      </w:r>
      <w:r>
        <w:rPr>
          <w:rFonts w:ascii="Century Gothic" w:hAnsi="Century Gothic" w:cs="Calibri"/>
          <w:b/>
          <w:sz w:val="20"/>
          <w:szCs w:val="20"/>
        </w:rPr>
        <w:t>řed podpisem smlouvy účastník předloží originál</w:t>
      </w:r>
      <w:r w:rsidRPr="006D403D">
        <w:rPr>
          <w:rFonts w:ascii="Century Gothic" w:hAnsi="Century Gothic" w:cs="Calibri"/>
          <w:b/>
          <w:sz w:val="20"/>
          <w:szCs w:val="20"/>
        </w:rPr>
        <w:t xml:space="preserve"> nebo úředně ověřenou kopii následujících dokumentů:</w:t>
      </w:r>
    </w:p>
    <w:p w:rsidR="006D403D" w:rsidRPr="006D403D" w:rsidRDefault="006D403D" w:rsidP="006D403D">
      <w:pPr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6D403D" w:rsidRPr="00807B4D" w:rsidRDefault="006D403D" w:rsidP="006D403D">
      <w:pPr>
        <w:pStyle w:val="Odstavecseseznamem"/>
        <w:numPr>
          <w:ilvl w:val="0"/>
          <w:numId w:val="6"/>
        </w:numPr>
        <w:ind w:hanging="294"/>
        <w:contextualSpacing/>
        <w:jc w:val="both"/>
        <w:rPr>
          <w:rFonts w:ascii="Century Gothic" w:eastAsia="Arial Unicode MS" w:hAnsi="Century Gothic" w:cs="Arial Unicode MS"/>
        </w:rPr>
      </w:pPr>
      <w:r w:rsidRPr="00807B4D">
        <w:rPr>
          <w:rFonts w:ascii="Century Gothic" w:eastAsia="Arial Unicode MS" w:hAnsi="Century Gothic" w:cs="Arial Unicode MS"/>
        </w:rPr>
        <w:t xml:space="preserve">výpisu z evidence Rejstříku trestů ve vztahu k § 74 odst. 1 písm. a) </w:t>
      </w:r>
      <w:r w:rsidRPr="00C37E91">
        <w:rPr>
          <w:rFonts w:ascii="Century Gothic" w:eastAsia="Arial Unicode MS" w:hAnsi="Century Gothic" w:cs="Arial Unicode MS"/>
        </w:rPr>
        <w:t>zákona</w:t>
      </w:r>
      <w:r>
        <w:rPr>
          <w:rFonts w:ascii="Century Gothic" w:eastAsia="Arial Unicode MS" w:hAnsi="Century Gothic" w:cs="Arial Unicode MS"/>
        </w:rPr>
        <w:t>,</w:t>
      </w:r>
      <w:r w:rsidRPr="00C37E91">
        <w:rPr>
          <w:rFonts w:ascii="Century Gothic" w:eastAsia="Arial Unicode MS" w:hAnsi="Century Gothic" w:cs="Arial Unicode MS"/>
        </w:rPr>
        <w:t xml:space="preserve"> </w:t>
      </w:r>
    </w:p>
    <w:p w:rsidR="006D403D" w:rsidRPr="00807B4D" w:rsidRDefault="006D403D" w:rsidP="006D403D">
      <w:pPr>
        <w:pStyle w:val="Odstavecseseznamem"/>
        <w:numPr>
          <w:ilvl w:val="0"/>
          <w:numId w:val="6"/>
        </w:numPr>
        <w:ind w:left="426" w:firstLine="0"/>
        <w:contextualSpacing/>
        <w:jc w:val="both"/>
        <w:rPr>
          <w:rFonts w:ascii="Century Gothic" w:eastAsia="Arial Unicode MS" w:hAnsi="Century Gothic" w:cs="Arial Unicode MS"/>
        </w:rPr>
      </w:pPr>
      <w:r w:rsidRPr="00807B4D">
        <w:rPr>
          <w:rFonts w:ascii="Century Gothic" w:eastAsia="Arial Unicode MS" w:hAnsi="Century Gothic" w:cs="Arial Unicode MS"/>
        </w:rPr>
        <w:t xml:space="preserve">potvrzení příslušného finančního úřadu ve </w:t>
      </w:r>
      <w:r>
        <w:rPr>
          <w:rFonts w:ascii="Century Gothic" w:eastAsia="Arial Unicode MS" w:hAnsi="Century Gothic" w:cs="Arial Unicode MS"/>
        </w:rPr>
        <w:t>vztahu k § 74 odst. 1 písm. b) z</w:t>
      </w:r>
      <w:r w:rsidRPr="00807B4D">
        <w:rPr>
          <w:rFonts w:ascii="Century Gothic" w:eastAsia="Arial Unicode MS" w:hAnsi="Century Gothic" w:cs="Arial Unicode MS"/>
        </w:rPr>
        <w:t>ákona,</w:t>
      </w:r>
    </w:p>
    <w:p w:rsidR="006D403D" w:rsidRPr="00807B4D" w:rsidRDefault="006D403D" w:rsidP="006D403D">
      <w:pPr>
        <w:pStyle w:val="Odstavecseseznamem"/>
        <w:numPr>
          <w:ilvl w:val="0"/>
          <w:numId w:val="6"/>
        </w:numPr>
        <w:ind w:left="709" w:hanging="283"/>
        <w:contextualSpacing/>
        <w:jc w:val="both"/>
        <w:rPr>
          <w:rFonts w:ascii="Century Gothic" w:eastAsia="Arial Unicode MS" w:hAnsi="Century Gothic" w:cs="Arial Unicode MS"/>
        </w:rPr>
      </w:pPr>
      <w:r w:rsidRPr="00807B4D">
        <w:rPr>
          <w:rFonts w:ascii="Century Gothic" w:eastAsia="Arial Unicode MS" w:hAnsi="Century Gothic" w:cs="Arial Unicode MS"/>
        </w:rPr>
        <w:t xml:space="preserve">písemného čestného prohlášení ve vztahu ke spotřební dani ve </w:t>
      </w:r>
      <w:r>
        <w:rPr>
          <w:rFonts w:ascii="Century Gothic" w:eastAsia="Arial Unicode MS" w:hAnsi="Century Gothic" w:cs="Arial Unicode MS"/>
        </w:rPr>
        <w:t>vztahu k § 74 odst. 1 písm. b) z</w:t>
      </w:r>
      <w:r w:rsidRPr="00807B4D">
        <w:rPr>
          <w:rFonts w:ascii="Century Gothic" w:eastAsia="Arial Unicode MS" w:hAnsi="Century Gothic" w:cs="Arial Unicode MS"/>
        </w:rPr>
        <w:t>ákona,</w:t>
      </w:r>
    </w:p>
    <w:p w:rsidR="006D403D" w:rsidRPr="00807B4D" w:rsidRDefault="006D403D" w:rsidP="006D403D">
      <w:pPr>
        <w:pStyle w:val="Odstavecseseznamem"/>
        <w:numPr>
          <w:ilvl w:val="0"/>
          <w:numId w:val="6"/>
        </w:numPr>
        <w:ind w:left="426" w:firstLine="0"/>
        <w:contextualSpacing/>
        <w:jc w:val="both"/>
        <w:rPr>
          <w:rFonts w:ascii="Century Gothic" w:eastAsia="Arial Unicode MS" w:hAnsi="Century Gothic" w:cs="Arial Unicode MS"/>
        </w:rPr>
      </w:pPr>
      <w:r w:rsidRPr="00807B4D">
        <w:rPr>
          <w:rFonts w:ascii="Century Gothic" w:eastAsia="Arial Unicode MS" w:hAnsi="Century Gothic" w:cs="Arial Unicode MS"/>
        </w:rPr>
        <w:t xml:space="preserve">písemného čestného prohlášení ve </w:t>
      </w:r>
      <w:r>
        <w:rPr>
          <w:rFonts w:ascii="Century Gothic" w:eastAsia="Arial Unicode MS" w:hAnsi="Century Gothic" w:cs="Arial Unicode MS"/>
        </w:rPr>
        <w:t>vztahu k § 74 odst. 1 písm. c) z</w:t>
      </w:r>
      <w:r w:rsidRPr="00807B4D">
        <w:rPr>
          <w:rFonts w:ascii="Century Gothic" w:eastAsia="Arial Unicode MS" w:hAnsi="Century Gothic" w:cs="Arial Unicode MS"/>
        </w:rPr>
        <w:t>ákona,</w:t>
      </w:r>
    </w:p>
    <w:p w:rsidR="006D403D" w:rsidRPr="00807B4D" w:rsidRDefault="006D403D" w:rsidP="006D403D">
      <w:pPr>
        <w:pStyle w:val="Odstavecseseznamem"/>
        <w:numPr>
          <w:ilvl w:val="0"/>
          <w:numId w:val="6"/>
        </w:numPr>
        <w:ind w:left="709" w:hanging="283"/>
        <w:contextualSpacing/>
        <w:jc w:val="both"/>
        <w:rPr>
          <w:rFonts w:ascii="Century Gothic" w:eastAsia="Arial Unicode MS" w:hAnsi="Century Gothic" w:cs="Arial Unicode MS"/>
        </w:rPr>
      </w:pPr>
      <w:r w:rsidRPr="00807B4D">
        <w:rPr>
          <w:rFonts w:ascii="Century Gothic" w:eastAsia="Arial Unicode MS" w:hAnsi="Century Gothic" w:cs="Arial Unicode MS"/>
        </w:rPr>
        <w:t xml:space="preserve">potvrzení příslušné okresní správy sociálního zabezpečení ve vztahu k § 74 odst. 1 písm. d) </w:t>
      </w:r>
      <w:r>
        <w:rPr>
          <w:rFonts w:ascii="Century Gothic" w:eastAsia="Arial Unicode MS" w:hAnsi="Century Gothic" w:cs="Arial Unicode MS"/>
        </w:rPr>
        <w:t>z</w:t>
      </w:r>
      <w:r w:rsidRPr="00807B4D">
        <w:rPr>
          <w:rFonts w:ascii="Century Gothic" w:eastAsia="Arial Unicode MS" w:hAnsi="Century Gothic" w:cs="Arial Unicode MS"/>
        </w:rPr>
        <w:t>ákona,</w:t>
      </w:r>
    </w:p>
    <w:p w:rsidR="006D403D" w:rsidRPr="007C2AEA" w:rsidRDefault="006D403D" w:rsidP="006D403D">
      <w:pPr>
        <w:pStyle w:val="Odstavecseseznamem"/>
        <w:numPr>
          <w:ilvl w:val="0"/>
          <w:numId w:val="6"/>
        </w:numPr>
        <w:ind w:left="709" w:hanging="283"/>
        <w:contextualSpacing/>
        <w:jc w:val="both"/>
        <w:rPr>
          <w:rFonts w:ascii="Century Gothic" w:hAnsi="Century Gothic"/>
          <w:b/>
          <w:lang w:eastAsia="cs-CZ"/>
        </w:rPr>
      </w:pPr>
      <w:r w:rsidRPr="00807B4D">
        <w:rPr>
          <w:rFonts w:ascii="Century Gothic" w:eastAsia="Arial Unicode MS" w:hAnsi="Century Gothic" w:cs="Arial Unicode MS"/>
        </w:rPr>
        <w:t xml:space="preserve">výpisu z obchodního rejstříku nebo </w:t>
      </w:r>
      <w:r>
        <w:rPr>
          <w:rFonts w:ascii="Century Gothic" w:eastAsia="Arial Unicode MS" w:hAnsi="Century Gothic" w:cs="Arial Unicode MS"/>
        </w:rPr>
        <w:t>písemné</w:t>
      </w:r>
      <w:r w:rsidRPr="00807B4D">
        <w:rPr>
          <w:rFonts w:ascii="Century Gothic" w:eastAsia="Arial Unicode MS" w:hAnsi="Century Gothic" w:cs="Arial Unicode MS"/>
        </w:rPr>
        <w:t xml:space="preserve"> čestné prohlášení v případě, že není v obchodním rejstříku zapsán, ve vztahu k § 74 odst. 1 písm. e) </w:t>
      </w:r>
      <w:r>
        <w:rPr>
          <w:rFonts w:ascii="Century Gothic" w:eastAsia="Arial Unicode MS" w:hAnsi="Century Gothic" w:cs="Arial Unicode MS"/>
        </w:rPr>
        <w:t>z</w:t>
      </w:r>
      <w:r w:rsidRPr="00807B4D">
        <w:rPr>
          <w:rFonts w:ascii="Century Gothic" w:eastAsia="Arial Unicode MS" w:hAnsi="Century Gothic" w:cs="Arial Unicode MS"/>
        </w:rPr>
        <w:t>ákona.</w:t>
      </w:r>
    </w:p>
    <w:p w:rsidR="006D403D" w:rsidRPr="006D403D" w:rsidRDefault="006D403D" w:rsidP="006D403D">
      <w:pPr>
        <w:pStyle w:val="Styl"/>
        <w:tabs>
          <w:tab w:val="left" w:pos="426"/>
          <w:tab w:val="left" w:pos="1985"/>
        </w:tabs>
        <w:spacing w:line="273" w:lineRule="exact"/>
        <w:ind w:right="141"/>
        <w:jc w:val="both"/>
        <w:rPr>
          <w:rFonts w:ascii="Century Gothic" w:hAnsi="Century Gothic" w:cstheme="minorHAnsi"/>
          <w:sz w:val="20"/>
          <w:szCs w:val="20"/>
        </w:rPr>
      </w:pPr>
      <w:r w:rsidRPr="006D403D">
        <w:rPr>
          <w:rFonts w:ascii="Century Gothic" w:hAnsi="Century Gothic" w:cs="Calibri"/>
          <w:color w:val="010000"/>
          <w:sz w:val="20"/>
          <w:szCs w:val="20"/>
        </w:rPr>
        <w:lastRenderedPageBreak/>
        <w:t>Dále čestně prohlašuje, že je schopen prokázat splnění profesní způsobilosti p</w:t>
      </w:r>
      <w:r w:rsidRPr="006D403D">
        <w:rPr>
          <w:rFonts w:ascii="Century Gothic" w:hAnsi="Century Gothic" w:cstheme="minorHAnsi"/>
          <w:sz w:val="20"/>
          <w:szCs w:val="20"/>
        </w:rPr>
        <w:t>ředložením:</w:t>
      </w:r>
    </w:p>
    <w:p w:rsidR="006D403D" w:rsidRPr="006D403D" w:rsidRDefault="006D403D" w:rsidP="006D403D">
      <w:pPr>
        <w:pStyle w:val="Styl"/>
        <w:tabs>
          <w:tab w:val="left" w:pos="426"/>
          <w:tab w:val="left" w:pos="1985"/>
        </w:tabs>
        <w:spacing w:line="273" w:lineRule="exact"/>
        <w:ind w:right="141"/>
        <w:jc w:val="both"/>
        <w:rPr>
          <w:rFonts w:ascii="Century Gothic" w:hAnsi="Century Gothic" w:cs="Calibri"/>
          <w:color w:val="010000"/>
          <w:sz w:val="20"/>
          <w:szCs w:val="20"/>
        </w:rPr>
      </w:pPr>
    </w:p>
    <w:p w:rsidR="006D403D" w:rsidRPr="006D403D" w:rsidRDefault="006D403D" w:rsidP="006D403D">
      <w:pPr>
        <w:pStyle w:val="Bezmezer"/>
        <w:numPr>
          <w:ilvl w:val="0"/>
          <w:numId w:val="8"/>
        </w:numPr>
        <w:spacing w:after="120"/>
        <w:ind w:left="714" w:hanging="357"/>
        <w:rPr>
          <w:rFonts w:ascii="Century Gothic" w:hAnsi="Century Gothic"/>
          <w:sz w:val="20"/>
          <w:szCs w:val="20"/>
        </w:rPr>
      </w:pPr>
      <w:r w:rsidRPr="006D403D">
        <w:rPr>
          <w:rFonts w:ascii="Century Gothic" w:hAnsi="Century Gothic"/>
          <w:sz w:val="20"/>
          <w:szCs w:val="20"/>
        </w:rPr>
        <w:t>výpisu z obchodního rejstříku nebo jiné obdobné evidence (pokud jiný právní předpis zápis do takové evidence vyžaduje) a</w:t>
      </w:r>
    </w:p>
    <w:p w:rsidR="00F615F9" w:rsidRPr="00C8173B" w:rsidRDefault="006D403D" w:rsidP="00F615F9">
      <w:pPr>
        <w:pStyle w:val="Bezmezer"/>
        <w:numPr>
          <w:ilvl w:val="0"/>
          <w:numId w:val="8"/>
        </w:numPr>
        <w:spacing w:after="120"/>
        <w:ind w:left="714" w:hanging="357"/>
        <w:rPr>
          <w:rFonts w:ascii="Century Gothic" w:hAnsi="Century Gothic"/>
          <w:sz w:val="20"/>
          <w:szCs w:val="20"/>
        </w:rPr>
      </w:pPr>
      <w:r w:rsidRPr="00F615F9">
        <w:rPr>
          <w:rFonts w:ascii="Century Gothic" w:hAnsi="Century Gothic"/>
          <w:sz w:val="20"/>
          <w:szCs w:val="20"/>
        </w:rPr>
        <w:t>dokladu o oprávnění k podnikání</w:t>
      </w:r>
      <w:r w:rsidRPr="00F615F9">
        <w:rPr>
          <w:rFonts w:ascii="Century Gothic" w:hAnsi="Century Gothic"/>
          <w:b/>
          <w:sz w:val="20"/>
          <w:szCs w:val="20"/>
        </w:rPr>
        <w:t xml:space="preserve"> </w:t>
      </w:r>
      <w:r w:rsidRPr="00F615F9">
        <w:rPr>
          <w:rFonts w:ascii="Century Gothic" w:hAnsi="Century Gothic"/>
          <w:sz w:val="20"/>
          <w:szCs w:val="20"/>
        </w:rPr>
        <w:t>v rozsahu odpovídajícím předmětu veřejné zakázky (pokud jiné právní předpisy takové oprávnění vyžadují</w:t>
      </w:r>
      <w:r w:rsidR="00F615F9">
        <w:rPr>
          <w:rFonts w:ascii="Century Gothic" w:hAnsi="Century Gothic"/>
          <w:sz w:val="20"/>
          <w:szCs w:val="20"/>
        </w:rPr>
        <w:t>),</w:t>
      </w:r>
      <w:r w:rsidR="00F615F9" w:rsidRPr="00F615F9">
        <w:rPr>
          <w:rFonts w:ascii="Century Gothic" w:hAnsi="Century Gothic"/>
          <w:sz w:val="20"/>
          <w:szCs w:val="20"/>
        </w:rPr>
        <w:t xml:space="preserve"> </w:t>
      </w:r>
      <w:r w:rsidR="00F615F9">
        <w:rPr>
          <w:rFonts w:ascii="Century Gothic" w:hAnsi="Century Gothic"/>
          <w:sz w:val="20"/>
          <w:szCs w:val="20"/>
        </w:rPr>
        <w:t xml:space="preserve">zejména doklad prokazující </w:t>
      </w:r>
      <w:r w:rsidR="00F615F9" w:rsidRPr="00C8173B">
        <w:rPr>
          <w:rFonts w:ascii="Century Gothic" w:hAnsi="Century Gothic"/>
          <w:sz w:val="20"/>
          <w:szCs w:val="20"/>
        </w:rPr>
        <w:t xml:space="preserve">živnostenské oprávnění </w:t>
      </w:r>
      <w:r w:rsidR="00F615F9">
        <w:rPr>
          <w:rFonts w:ascii="Century Gothic" w:hAnsi="Century Gothic"/>
          <w:sz w:val="20"/>
          <w:szCs w:val="20"/>
        </w:rPr>
        <w:t>pro koncesované živnosti „Ostraha majetku a osob“ dle zákona č. 455/1991 Sb., živnostenský zákon, ve znění pozdějších předpisů</w:t>
      </w:r>
      <w:r w:rsidR="00F615F9" w:rsidRPr="00C8173B">
        <w:rPr>
          <w:rFonts w:ascii="Century Gothic" w:hAnsi="Century Gothic"/>
          <w:sz w:val="20"/>
          <w:szCs w:val="20"/>
        </w:rPr>
        <w:t xml:space="preserve">. </w:t>
      </w:r>
      <w:r w:rsidR="00F615F9">
        <w:rPr>
          <w:rFonts w:ascii="Century Gothic" w:hAnsi="Century Gothic"/>
          <w:sz w:val="20"/>
          <w:szCs w:val="20"/>
        </w:rPr>
        <w:t>Účastník prohlašuje, že je</w:t>
      </w:r>
      <w:r w:rsidR="00F615F9" w:rsidRPr="00C8173B">
        <w:rPr>
          <w:rFonts w:ascii="Century Gothic" w:hAnsi="Century Gothic"/>
          <w:sz w:val="20"/>
          <w:szCs w:val="20"/>
        </w:rPr>
        <w:t xml:space="preserve"> na základě dokladu o oprávnění k podnikání oprávněn </w:t>
      </w:r>
      <w:r w:rsidR="00F615F9">
        <w:rPr>
          <w:rFonts w:ascii="Century Gothic" w:hAnsi="Century Gothic"/>
          <w:sz w:val="20"/>
          <w:szCs w:val="20"/>
        </w:rPr>
        <w:t xml:space="preserve">vykonávat činnost </w:t>
      </w:r>
      <w:r w:rsidR="00F615F9" w:rsidRPr="00C8173B">
        <w:rPr>
          <w:rFonts w:ascii="Century Gothic" w:hAnsi="Century Gothic"/>
          <w:sz w:val="20"/>
          <w:szCs w:val="20"/>
        </w:rPr>
        <w:t xml:space="preserve">v rozsahu dle čl. 2 </w:t>
      </w:r>
      <w:r w:rsidR="00F615F9">
        <w:rPr>
          <w:rFonts w:ascii="Century Gothic" w:hAnsi="Century Gothic"/>
          <w:sz w:val="20"/>
          <w:szCs w:val="20"/>
        </w:rPr>
        <w:t>výzvy k podání nabídek.</w:t>
      </w:r>
    </w:p>
    <w:p w:rsidR="00F615F9" w:rsidRDefault="00F615F9" w:rsidP="00F615F9">
      <w:pPr>
        <w:pStyle w:val="Bezmezer"/>
        <w:spacing w:after="120"/>
        <w:ind w:left="357"/>
        <w:rPr>
          <w:rFonts w:ascii="Century Gothic" w:hAnsi="Century Gothic"/>
          <w:sz w:val="20"/>
          <w:szCs w:val="20"/>
        </w:rPr>
      </w:pPr>
      <w:r w:rsidRPr="006D403D">
        <w:rPr>
          <w:rFonts w:ascii="Century Gothic" w:hAnsi="Century Gothic" w:cs="Calibri"/>
          <w:b/>
          <w:sz w:val="20"/>
          <w:szCs w:val="20"/>
        </w:rPr>
        <w:t>P</w:t>
      </w:r>
      <w:r>
        <w:rPr>
          <w:rFonts w:ascii="Century Gothic" w:hAnsi="Century Gothic" w:cs="Calibri"/>
          <w:b/>
          <w:sz w:val="20"/>
          <w:szCs w:val="20"/>
        </w:rPr>
        <w:t>řed podpisem smlouvy účastník předloží originál</w:t>
      </w:r>
      <w:r w:rsidRPr="006D403D">
        <w:rPr>
          <w:rFonts w:ascii="Century Gothic" w:hAnsi="Century Gothic" w:cs="Calibri"/>
          <w:b/>
          <w:sz w:val="20"/>
          <w:szCs w:val="20"/>
        </w:rPr>
        <w:t xml:space="preserve"> nebo úředně ověřenou kopii</w:t>
      </w:r>
      <w:r>
        <w:rPr>
          <w:rFonts w:ascii="Century Gothic" w:hAnsi="Century Gothic" w:cs="Calibri"/>
          <w:b/>
          <w:sz w:val="20"/>
          <w:szCs w:val="20"/>
        </w:rPr>
        <w:t xml:space="preserve"> těchto dokladů.</w:t>
      </w:r>
    </w:p>
    <w:p w:rsidR="00F615F9" w:rsidRDefault="00F615F9" w:rsidP="006D403D">
      <w:pPr>
        <w:pStyle w:val="Styl"/>
        <w:tabs>
          <w:tab w:val="left" w:pos="426"/>
          <w:tab w:val="left" w:pos="1985"/>
        </w:tabs>
        <w:spacing w:line="273" w:lineRule="exact"/>
        <w:ind w:right="141"/>
        <w:jc w:val="both"/>
        <w:rPr>
          <w:rFonts w:ascii="Century Gothic" w:hAnsi="Century Gothic" w:cs="Calibri"/>
          <w:color w:val="010000"/>
          <w:sz w:val="20"/>
          <w:szCs w:val="20"/>
        </w:rPr>
      </w:pPr>
    </w:p>
    <w:p w:rsidR="00F615F9" w:rsidRPr="00501B41" w:rsidRDefault="00F615F9" w:rsidP="00F615F9">
      <w:pPr>
        <w:pStyle w:val="Styl"/>
        <w:tabs>
          <w:tab w:val="left" w:pos="426"/>
          <w:tab w:val="left" w:pos="1985"/>
        </w:tabs>
        <w:spacing w:line="273" w:lineRule="exact"/>
        <w:ind w:right="141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6D403D">
        <w:rPr>
          <w:rFonts w:ascii="Century Gothic" w:hAnsi="Century Gothic" w:cs="Calibri"/>
          <w:color w:val="010000"/>
          <w:sz w:val="20"/>
          <w:szCs w:val="20"/>
        </w:rPr>
        <w:t xml:space="preserve">Dodavatel čestně prohlašuje, že je schopen prokázat splnění technické kvalifikace předložením </w:t>
      </w:r>
      <w:r w:rsidRPr="00F615F9">
        <w:rPr>
          <w:rFonts w:ascii="Century Gothic" w:hAnsi="Century Gothic" w:cs="Calibri"/>
          <w:color w:val="010000"/>
          <w:sz w:val="20"/>
          <w:szCs w:val="20"/>
        </w:rPr>
        <w:t>seznam</w:t>
      </w:r>
      <w:r>
        <w:rPr>
          <w:rFonts w:ascii="Century Gothic" w:hAnsi="Century Gothic" w:cs="Calibri"/>
          <w:color w:val="010000"/>
          <w:sz w:val="20"/>
          <w:szCs w:val="20"/>
        </w:rPr>
        <w:t>u</w:t>
      </w:r>
      <w:r w:rsidRPr="00F615F9">
        <w:rPr>
          <w:rFonts w:ascii="Century Gothic" w:hAnsi="Century Gothic" w:cs="Calibri"/>
          <w:color w:val="010000"/>
          <w:sz w:val="20"/>
          <w:szCs w:val="20"/>
        </w:rPr>
        <w:t xml:space="preserve"> významných služeb</w:t>
      </w:r>
      <w:r w:rsidRPr="00DD16F8">
        <w:rPr>
          <w:rFonts w:ascii="Century Gothic" w:hAnsi="Century Gothic" w:cs="Calibri"/>
          <w:color w:val="010000"/>
          <w:sz w:val="20"/>
          <w:szCs w:val="20"/>
        </w:rPr>
        <w:t xml:space="preserve">, které realizoval </w:t>
      </w:r>
      <w:r w:rsidRPr="00F615F9">
        <w:rPr>
          <w:rFonts w:ascii="Century Gothic" w:hAnsi="Century Gothic" w:cs="Calibri"/>
          <w:color w:val="010000"/>
          <w:sz w:val="20"/>
          <w:szCs w:val="20"/>
        </w:rPr>
        <w:t>v posledních 3 letech</w:t>
      </w:r>
      <w:r w:rsidRPr="00DD16F8">
        <w:rPr>
          <w:rFonts w:ascii="Century Gothic" w:hAnsi="Century Gothic" w:cs="Calibri"/>
          <w:color w:val="010000"/>
          <w:sz w:val="20"/>
          <w:szCs w:val="20"/>
        </w:rPr>
        <w:t xml:space="preserve">. V seznamu budou služby </w:t>
      </w:r>
      <w:r w:rsidRPr="00F615F9">
        <w:rPr>
          <w:rFonts w:ascii="Century Gothic" w:hAnsi="Century Gothic" w:cs="Calibri"/>
          <w:color w:val="010000"/>
          <w:sz w:val="20"/>
          <w:szCs w:val="20"/>
        </w:rPr>
        <w:t>označené názvem a uvedením objednatele, doby jejich poskytnutí, finančního a věcného rozsahu</w:t>
      </w:r>
      <w:r w:rsidRPr="00851563">
        <w:rPr>
          <w:rFonts w:ascii="Century Gothic" w:hAnsi="Century Gothic" w:cs="Calibri"/>
          <w:color w:val="010000"/>
          <w:sz w:val="20"/>
          <w:szCs w:val="20"/>
        </w:rPr>
        <w:t xml:space="preserve"> </w:t>
      </w:r>
      <w:r w:rsidRPr="00DD16F8">
        <w:rPr>
          <w:rFonts w:ascii="Century Gothic" w:hAnsi="Century Gothic" w:cs="Calibri"/>
          <w:color w:val="010000"/>
          <w:sz w:val="20"/>
          <w:szCs w:val="20"/>
        </w:rPr>
        <w:t xml:space="preserve">a seznam bude </w:t>
      </w:r>
      <w:r w:rsidRPr="00F615F9">
        <w:rPr>
          <w:rFonts w:ascii="Century Gothic" w:hAnsi="Century Gothic" w:cs="Calibri"/>
          <w:color w:val="010000"/>
          <w:sz w:val="20"/>
          <w:szCs w:val="20"/>
        </w:rPr>
        <w:t>podepsán</w:t>
      </w:r>
      <w:r w:rsidRPr="00DD16F8">
        <w:rPr>
          <w:rFonts w:ascii="Century Gothic" w:hAnsi="Century Gothic" w:cs="Calibri"/>
          <w:color w:val="010000"/>
          <w:sz w:val="20"/>
          <w:szCs w:val="20"/>
        </w:rPr>
        <w:t xml:space="preserve"> osobou oprávněnou jednat jménem či za dodavatele. </w:t>
      </w:r>
      <w:r w:rsidRPr="006D403D">
        <w:rPr>
          <w:rFonts w:ascii="Century Gothic" w:hAnsi="Century Gothic" w:cs="Calibri"/>
          <w:color w:val="010000"/>
          <w:sz w:val="20"/>
          <w:szCs w:val="20"/>
        </w:rPr>
        <w:t>Dodavatel předloží seznam minimálně 3 významných</w:t>
      </w:r>
      <w:r w:rsidRPr="00F615F9">
        <w:rPr>
          <w:rFonts w:ascii="Century Gothic" w:hAnsi="Century Gothic" w:cs="Calibri"/>
          <w:color w:val="010000"/>
          <w:sz w:val="20"/>
          <w:szCs w:val="20"/>
        </w:rPr>
        <w:t xml:space="preserve"> služeb</w:t>
      </w:r>
      <w:r w:rsidRPr="00DD16F8">
        <w:rPr>
          <w:rFonts w:ascii="Century Gothic" w:hAnsi="Century Gothic" w:cs="Calibri"/>
          <w:color w:val="010000"/>
          <w:sz w:val="20"/>
          <w:szCs w:val="20"/>
        </w:rPr>
        <w:t xml:space="preserve"> obdobného charakteru jako je předmět této 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>veřejné zakázky, a to</w:t>
      </w:r>
      <w:r w:rsidR="001A6E49" w:rsidRPr="00501B41">
        <w:rPr>
          <w:rFonts w:ascii="Century Gothic" w:hAnsi="Century Gothic" w:cs="Calibri"/>
          <w:color w:val="010000"/>
          <w:sz w:val="20"/>
          <w:szCs w:val="20"/>
        </w:rPr>
        <w:t>:</w:t>
      </w:r>
    </w:p>
    <w:p w:rsidR="00023B48" w:rsidRPr="00501B41" w:rsidRDefault="00F615F9" w:rsidP="00F615F9">
      <w:pPr>
        <w:pStyle w:val="Styl"/>
        <w:numPr>
          <w:ilvl w:val="0"/>
          <w:numId w:val="10"/>
        </w:numPr>
        <w:tabs>
          <w:tab w:val="left" w:pos="426"/>
          <w:tab w:val="left" w:pos="1985"/>
        </w:tabs>
        <w:spacing w:line="273" w:lineRule="exact"/>
        <w:ind w:right="141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alespoň </w:t>
      </w:r>
      <w:r w:rsidR="00023B48" w:rsidRPr="00501B41">
        <w:rPr>
          <w:rFonts w:ascii="Century Gothic" w:hAnsi="Century Gothic" w:cs="Calibri"/>
          <w:color w:val="010000"/>
          <w:sz w:val="20"/>
          <w:szCs w:val="20"/>
        </w:rPr>
        <w:t>2 významné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 služb</w:t>
      </w:r>
      <w:r w:rsidR="00023B48" w:rsidRPr="00501B41">
        <w:rPr>
          <w:rFonts w:ascii="Century Gothic" w:hAnsi="Century Gothic" w:cs="Calibri"/>
          <w:color w:val="010000"/>
          <w:sz w:val="20"/>
          <w:szCs w:val="20"/>
        </w:rPr>
        <w:t>y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 v oblasti zajištění fyzické ostrahy a recepční služby sportoviště/sportovišť, kdy finanční rozsah každé poskytnuté služby činil alespoň</w:t>
      </w:r>
      <w:r w:rsidR="00023B48" w:rsidRPr="00501B41">
        <w:rPr>
          <w:rFonts w:ascii="Century Gothic" w:hAnsi="Century Gothic" w:cs="Calibri"/>
          <w:color w:val="010000"/>
          <w:sz w:val="20"/>
          <w:szCs w:val="20"/>
        </w:rPr>
        <w:t xml:space="preserve"> </w:t>
      </w:r>
      <w:r w:rsidR="009F6590">
        <w:rPr>
          <w:rFonts w:ascii="Century Gothic" w:hAnsi="Century Gothic" w:cs="Calibri"/>
          <w:color w:val="010000"/>
          <w:sz w:val="20"/>
          <w:szCs w:val="20"/>
        </w:rPr>
        <w:br/>
        <w:t>6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00 000 Kč </w:t>
      </w:r>
      <w:r w:rsidR="009F6590">
        <w:rPr>
          <w:rFonts w:ascii="Century Gothic" w:hAnsi="Century Gothic" w:cs="Calibri"/>
          <w:color w:val="010000"/>
          <w:sz w:val="20"/>
          <w:szCs w:val="20"/>
        </w:rPr>
        <w:t>vč.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 DPH/kalendářní rok/službu a dále</w:t>
      </w:r>
    </w:p>
    <w:p w:rsidR="00F615F9" w:rsidRPr="00023B48" w:rsidRDefault="00F615F9" w:rsidP="00F615F9">
      <w:pPr>
        <w:pStyle w:val="Styl"/>
        <w:numPr>
          <w:ilvl w:val="0"/>
          <w:numId w:val="10"/>
        </w:numPr>
        <w:tabs>
          <w:tab w:val="left" w:pos="426"/>
          <w:tab w:val="left" w:pos="1985"/>
        </w:tabs>
        <w:spacing w:line="273" w:lineRule="exact"/>
        <w:ind w:right="141"/>
        <w:jc w:val="both"/>
        <w:rPr>
          <w:rFonts w:ascii="Century Gothic" w:hAnsi="Century Gothic" w:cs="Calibri"/>
          <w:color w:val="010000"/>
          <w:sz w:val="20"/>
          <w:szCs w:val="20"/>
        </w:rPr>
      </w:pP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alespoň </w:t>
      </w:r>
      <w:r w:rsidR="00023B48" w:rsidRPr="00501B41">
        <w:rPr>
          <w:rFonts w:ascii="Century Gothic" w:hAnsi="Century Gothic" w:cs="Calibri"/>
          <w:color w:val="010000"/>
          <w:sz w:val="20"/>
          <w:szCs w:val="20"/>
        </w:rPr>
        <w:t>1 významnou službu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 v oblasti fyz</w:t>
      </w:r>
      <w:r w:rsidR="00501B41" w:rsidRPr="00501B41">
        <w:rPr>
          <w:rFonts w:ascii="Century Gothic" w:hAnsi="Century Gothic" w:cs="Calibri"/>
          <w:color w:val="010000"/>
          <w:sz w:val="20"/>
          <w:szCs w:val="20"/>
        </w:rPr>
        <w:t>ické ostrahy a recepční služby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, kdy finanční rozsah poskytnuté služby činil alespoň </w:t>
      </w:r>
      <w:r w:rsidR="009F6590">
        <w:rPr>
          <w:rFonts w:ascii="Century Gothic" w:hAnsi="Century Gothic" w:cs="Calibri"/>
          <w:color w:val="010000"/>
          <w:sz w:val="20"/>
          <w:szCs w:val="20"/>
        </w:rPr>
        <w:t>6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00 000 Kč </w:t>
      </w:r>
      <w:r w:rsidR="009F6590">
        <w:rPr>
          <w:rFonts w:ascii="Century Gothic" w:hAnsi="Century Gothic" w:cs="Calibri"/>
          <w:color w:val="010000"/>
          <w:sz w:val="20"/>
          <w:szCs w:val="20"/>
        </w:rPr>
        <w:t>vč.</w:t>
      </w:r>
      <w:r w:rsidRPr="00501B41">
        <w:rPr>
          <w:rFonts w:ascii="Century Gothic" w:hAnsi="Century Gothic" w:cs="Calibri"/>
          <w:color w:val="010000"/>
          <w:sz w:val="20"/>
          <w:szCs w:val="20"/>
        </w:rPr>
        <w:t xml:space="preserve"> DPH/kalendářní rok/službu</w:t>
      </w:r>
      <w:r w:rsidRPr="00023B48">
        <w:rPr>
          <w:rFonts w:ascii="Century Gothic" w:hAnsi="Century Gothic" w:cs="Calibri"/>
          <w:color w:val="010000"/>
          <w:sz w:val="20"/>
          <w:szCs w:val="20"/>
        </w:rPr>
        <w:t>.</w:t>
      </w:r>
    </w:p>
    <w:p w:rsidR="00023B48" w:rsidRDefault="00023B48" w:rsidP="00023B48">
      <w:pPr>
        <w:jc w:val="both"/>
        <w:rPr>
          <w:rFonts w:ascii="Century Gothic" w:hAnsi="Century Gothic"/>
          <w:sz w:val="20"/>
          <w:szCs w:val="20"/>
        </w:rPr>
      </w:pPr>
    </w:p>
    <w:p w:rsidR="00023B48" w:rsidRDefault="00023B48" w:rsidP="00023B48">
      <w:pPr>
        <w:pStyle w:val="Bezmezer"/>
        <w:spacing w:after="120"/>
        <w:ind w:left="357"/>
        <w:rPr>
          <w:rFonts w:ascii="Century Gothic" w:hAnsi="Century Gothic"/>
          <w:sz w:val="20"/>
          <w:szCs w:val="20"/>
        </w:rPr>
      </w:pPr>
      <w:r w:rsidRPr="006D403D">
        <w:rPr>
          <w:rFonts w:ascii="Century Gothic" w:hAnsi="Century Gothic" w:cs="Calibri"/>
          <w:b/>
          <w:sz w:val="20"/>
          <w:szCs w:val="20"/>
        </w:rPr>
        <w:t>P</w:t>
      </w:r>
      <w:r>
        <w:rPr>
          <w:rFonts w:ascii="Century Gothic" w:hAnsi="Century Gothic" w:cs="Calibri"/>
          <w:b/>
          <w:sz w:val="20"/>
          <w:szCs w:val="20"/>
        </w:rPr>
        <w:t>řed podpisem smlouvy účastník předloží originál</w:t>
      </w:r>
      <w:r w:rsidRPr="006D403D">
        <w:rPr>
          <w:rFonts w:ascii="Century Gothic" w:hAnsi="Century Gothic" w:cs="Calibri"/>
          <w:b/>
          <w:sz w:val="20"/>
          <w:szCs w:val="20"/>
        </w:rPr>
        <w:t xml:space="preserve"> nebo úředně ověřenou kopii</w:t>
      </w:r>
      <w:r>
        <w:rPr>
          <w:rFonts w:ascii="Century Gothic" w:hAnsi="Century Gothic" w:cs="Calibri"/>
          <w:b/>
          <w:sz w:val="20"/>
          <w:szCs w:val="20"/>
        </w:rPr>
        <w:t xml:space="preserve"> tohoto seznamu.</w:t>
      </w:r>
    </w:p>
    <w:p w:rsidR="00023B48" w:rsidRDefault="00023B48" w:rsidP="006D403D">
      <w:pPr>
        <w:pStyle w:val="Bezmezer"/>
        <w:spacing w:after="120"/>
        <w:ind w:left="714"/>
        <w:rPr>
          <w:szCs w:val="24"/>
        </w:rPr>
      </w:pPr>
      <w:bookmarkStart w:id="0" w:name="_GoBack"/>
      <w:bookmarkEnd w:id="0"/>
    </w:p>
    <w:p w:rsidR="006D403D" w:rsidRPr="00023B48" w:rsidRDefault="006D403D" w:rsidP="006D403D">
      <w:pPr>
        <w:spacing w:line="270" w:lineRule="exact"/>
        <w:rPr>
          <w:rFonts w:ascii="Century Gothic" w:hAnsi="Century Gothic" w:cs="Calibri"/>
          <w:bCs/>
          <w:iCs/>
          <w:sz w:val="20"/>
          <w:szCs w:val="20"/>
        </w:rPr>
      </w:pPr>
      <w:r w:rsidRPr="00023B48">
        <w:rPr>
          <w:rFonts w:ascii="Century Gothic" w:hAnsi="Century Gothic" w:cs="Calibri"/>
          <w:bCs/>
          <w:iCs/>
          <w:sz w:val="20"/>
          <w:szCs w:val="20"/>
        </w:rPr>
        <w:t>V</w:t>
      </w:r>
      <w:r w:rsidRPr="00023B48">
        <w:rPr>
          <w:rFonts w:ascii="Century Gothic" w:hAnsi="Century Gothic" w:cs="Calibri"/>
          <w:color w:val="FF0000"/>
          <w:sz w:val="20"/>
          <w:szCs w:val="20"/>
        </w:rPr>
        <w:t xml:space="preserve"> 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Pr="00023B48">
        <w:rPr>
          <w:rFonts w:ascii="Century Gothic" w:hAnsi="Century Gothic"/>
          <w:sz w:val="20"/>
          <w:szCs w:val="20"/>
          <w:highlight w:val="cyan"/>
        </w:rPr>
        <w:t>DOPLNÍ DODAVATEL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  <w:r w:rsidRPr="00023B48">
        <w:rPr>
          <w:rFonts w:ascii="Century Gothic" w:hAnsi="Century Gothic" w:cs="Calibri"/>
          <w:bCs/>
          <w:iCs/>
          <w:sz w:val="20"/>
          <w:szCs w:val="20"/>
        </w:rPr>
        <w:t>dne</w:t>
      </w:r>
      <w:r w:rsidRPr="00023B48">
        <w:rPr>
          <w:rFonts w:ascii="Century Gothic" w:hAnsi="Century Gothic" w:cs="Calibri"/>
          <w:color w:val="FF0000"/>
          <w:sz w:val="20"/>
          <w:szCs w:val="20"/>
        </w:rPr>
        <w:t xml:space="preserve"> 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Pr="00023B48">
        <w:rPr>
          <w:rFonts w:ascii="Century Gothic" w:hAnsi="Century Gothic"/>
          <w:sz w:val="20"/>
          <w:szCs w:val="20"/>
          <w:highlight w:val="cyan"/>
        </w:rPr>
        <w:t>DOPLNÍ DODAVATEL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023B48" w:rsidRDefault="006D403D" w:rsidP="006D403D">
      <w:pPr>
        <w:spacing w:line="270" w:lineRule="exact"/>
        <w:rPr>
          <w:rFonts w:ascii="Century Gothic" w:hAnsi="Century Gothic" w:cs="Calibri"/>
          <w:bCs/>
          <w:iCs/>
          <w:sz w:val="20"/>
          <w:szCs w:val="20"/>
        </w:rPr>
      </w:pPr>
      <w:r w:rsidRPr="00023B48">
        <w:rPr>
          <w:rFonts w:ascii="Century Gothic" w:hAnsi="Century Gothic" w:cs="Calibri"/>
          <w:bCs/>
          <w:iCs/>
          <w:sz w:val="20"/>
          <w:szCs w:val="20"/>
        </w:rPr>
        <w:t xml:space="preserve">             </w:t>
      </w:r>
    </w:p>
    <w:p w:rsidR="006D403D" w:rsidRPr="00023B48" w:rsidRDefault="006D403D" w:rsidP="006D403D">
      <w:pPr>
        <w:spacing w:line="270" w:lineRule="exact"/>
        <w:rPr>
          <w:rFonts w:ascii="Century Gothic" w:hAnsi="Century Gothic" w:cs="Calibri"/>
          <w:bCs/>
          <w:iCs/>
          <w:sz w:val="20"/>
          <w:szCs w:val="20"/>
        </w:rPr>
      </w:pPr>
      <w:r w:rsidRPr="00023B48">
        <w:rPr>
          <w:rFonts w:ascii="Century Gothic" w:hAnsi="Century Gothic" w:cs="Calibri"/>
          <w:bCs/>
          <w:iCs/>
          <w:sz w:val="20"/>
          <w:szCs w:val="20"/>
        </w:rPr>
        <w:t xml:space="preserve">    </w:t>
      </w:r>
    </w:p>
    <w:p w:rsidR="006D403D" w:rsidRPr="00023B48" w:rsidRDefault="006D403D" w:rsidP="006D403D">
      <w:pPr>
        <w:spacing w:line="270" w:lineRule="exact"/>
        <w:ind w:left="4248"/>
        <w:rPr>
          <w:rFonts w:ascii="Century Gothic" w:hAnsi="Century Gothic" w:cs="Calibri"/>
          <w:bCs/>
          <w:iCs/>
          <w:sz w:val="20"/>
          <w:szCs w:val="20"/>
        </w:rPr>
      </w:pPr>
      <w:r w:rsidRPr="00023B48">
        <w:rPr>
          <w:rFonts w:ascii="Century Gothic" w:hAnsi="Century Gothic" w:cs="Calibri"/>
          <w:color w:val="FF0000"/>
          <w:sz w:val="20"/>
          <w:szCs w:val="20"/>
        </w:rPr>
        <w:t xml:space="preserve"> </w:t>
      </w:r>
      <w:r w:rsidR="002213CD">
        <w:rPr>
          <w:rFonts w:ascii="Century Gothic" w:hAnsi="Century Gothic" w:cs="Calibri"/>
          <w:color w:val="FF0000"/>
          <w:sz w:val="20"/>
          <w:szCs w:val="20"/>
        </w:rPr>
        <w:t xml:space="preserve">   </w:t>
      </w:r>
      <w:r w:rsidRPr="00023B48">
        <w:rPr>
          <w:rFonts w:ascii="Century Gothic" w:hAnsi="Century Gothic" w:cs="Calibri"/>
          <w:color w:val="FF0000"/>
          <w:sz w:val="20"/>
          <w:szCs w:val="20"/>
        </w:rPr>
        <w:t xml:space="preserve">           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Pr="00023B48">
        <w:rPr>
          <w:rFonts w:ascii="Century Gothic" w:hAnsi="Century Gothic"/>
          <w:sz w:val="20"/>
          <w:szCs w:val="20"/>
          <w:highlight w:val="cyan"/>
        </w:rPr>
        <w:t>RAZÍTKO A PODPIS DODAVATELE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6D403D" w:rsidRPr="00023B48" w:rsidRDefault="006D403D" w:rsidP="006D403D">
      <w:pPr>
        <w:spacing w:after="0"/>
        <w:ind w:left="3540" w:firstLine="708"/>
        <w:jc w:val="center"/>
        <w:rPr>
          <w:rFonts w:ascii="Century Gothic" w:hAnsi="Century Gothic"/>
          <w:sz w:val="20"/>
          <w:szCs w:val="20"/>
        </w:rPr>
      </w:pPr>
      <w:r w:rsidRPr="00023B48">
        <w:rPr>
          <w:rFonts w:ascii="Century Gothic" w:hAnsi="Century Gothic"/>
          <w:sz w:val="20"/>
          <w:szCs w:val="20"/>
        </w:rPr>
        <w:t xml:space="preserve">   _________________________________</w:t>
      </w:r>
    </w:p>
    <w:p w:rsidR="006D403D" w:rsidRPr="00023B48" w:rsidRDefault="006D403D" w:rsidP="006D403D">
      <w:pPr>
        <w:spacing w:after="0"/>
        <w:ind w:left="4248" w:firstLine="708"/>
        <w:rPr>
          <w:rFonts w:ascii="Century Gothic" w:hAnsi="Century Gothic"/>
          <w:sz w:val="20"/>
          <w:szCs w:val="20"/>
        </w:rPr>
      </w:pPr>
      <w:r w:rsidRPr="00023B48">
        <w:rPr>
          <w:rFonts w:ascii="Century Gothic" w:hAnsi="Century Gothic"/>
          <w:sz w:val="20"/>
          <w:szCs w:val="20"/>
        </w:rPr>
        <w:t xml:space="preserve">             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Pr="00023B48">
        <w:rPr>
          <w:rFonts w:ascii="Century Gothic" w:hAnsi="Century Gothic"/>
          <w:sz w:val="20"/>
          <w:szCs w:val="20"/>
          <w:highlight w:val="cyan"/>
        </w:rPr>
        <w:t>DOPLNÍ DODAVATEL</w:t>
      </w:r>
      <w:r w:rsidRPr="00023B48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6D403D" w:rsidRPr="00023B48" w:rsidRDefault="006D403D" w:rsidP="006D403D">
      <w:pPr>
        <w:ind w:left="4956"/>
        <w:rPr>
          <w:rFonts w:ascii="Century Gothic" w:hAnsi="Century Gothic"/>
          <w:sz w:val="20"/>
          <w:szCs w:val="20"/>
        </w:rPr>
      </w:pPr>
      <w:r w:rsidRPr="00023B48">
        <w:rPr>
          <w:rFonts w:ascii="Century Gothic" w:hAnsi="Century Gothic"/>
          <w:i/>
          <w:sz w:val="20"/>
          <w:szCs w:val="20"/>
        </w:rPr>
        <w:t xml:space="preserve">              jméno, příjmení, funkce</w:t>
      </w:r>
    </w:p>
    <w:p w:rsidR="006D403D" w:rsidRDefault="006D403D" w:rsidP="006D403D">
      <w:pPr>
        <w:pStyle w:val="Zkladntext"/>
        <w:tabs>
          <w:tab w:val="left" w:pos="709"/>
        </w:tabs>
        <w:jc w:val="center"/>
        <w:rPr>
          <w:b/>
          <w:sz w:val="24"/>
        </w:rPr>
      </w:pPr>
    </w:p>
    <w:p w:rsidR="006D403D" w:rsidRDefault="006D403D" w:rsidP="006D403D">
      <w:pPr>
        <w:pStyle w:val="Zkladntext"/>
        <w:tabs>
          <w:tab w:val="left" w:pos="709"/>
        </w:tabs>
        <w:jc w:val="center"/>
        <w:rPr>
          <w:b/>
          <w:sz w:val="24"/>
        </w:rPr>
      </w:pPr>
    </w:p>
    <w:p w:rsidR="006D403D" w:rsidRDefault="006D403D" w:rsidP="006D403D">
      <w:pPr>
        <w:pStyle w:val="Zkladntext"/>
        <w:tabs>
          <w:tab w:val="left" w:pos="709"/>
        </w:tabs>
        <w:jc w:val="center"/>
        <w:rPr>
          <w:b/>
          <w:sz w:val="24"/>
        </w:rPr>
      </w:pPr>
    </w:p>
    <w:p w:rsidR="006D403D" w:rsidRDefault="006D403D" w:rsidP="006D403D">
      <w:pPr>
        <w:pStyle w:val="Zkladntext"/>
        <w:tabs>
          <w:tab w:val="left" w:pos="709"/>
        </w:tabs>
        <w:jc w:val="center"/>
        <w:rPr>
          <w:b/>
          <w:sz w:val="24"/>
        </w:rPr>
      </w:pPr>
    </w:p>
    <w:sectPr w:rsidR="006D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630C"/>
    <w:multiLevelType w:val="hybridMultilevel"/>
    <w:tmpl w:val="FE00D6DC"/>
    <w:lvl w:ilvl="0" w:tplc="6AC6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E1DA4">
      <w:numFmt w:val="none"/>
      <w:lvlText w:val=""/>
      <w:lvlJc w:val="left"/>
      <w:pPr>
        <w:tabs>
          <w:tab w:val="num" w:pos="360"/>
        </w:tabs>
      </w:pPr>
    </w:lvl>
    <w:lvl w:ilvl="2" w:tplc="69E60A28">
      <w:numFmt w:val="none"/>
      <w:lvlText w:val=""/>
      <w:lvlJc w:val="left"/>
      <w:pPr>
        <w:tabs>
          <w:tab w:val="num" w:pos="360"/>
        </w:tabs>
      </w:pPr>
    </w:lvl>
    <w:lvl w:ilvl="3" w:tplc="DCDC8D3E">
      <w:numFmt w:val="none"/>
      <w:lvlText w:val=""/>
      <w:lvlJc w:val="left"/>
      <w:pPr>
        <w:tabs>
          <w:tab w:val="num" w:pos="360"/>
        </w:tabs>
      </w:pPr>
    </w:lvl>
    <w:lvl w:ilvl="4" w:tplc="2ED27766">
      <w:numFmt w:val="none"/>
      <w:lvlText w:val=""/>
      <w:lvlJc w:val="left"/>
      <w:pPr>
        <w:tabs>
          <w:tab w:val="num" w:pos="360"/>
        </w:tabs>
      </w:pPr>
    </w:lvl>
    <w:lvl w:ilvl="5" w:tplc="1C508064">
      <w:numFmt w:val="none"/>
      <w:lvlText w:val=""/>
      <w:lvlJc w:val="left"/>
      <w:pPr>
        <w:tabs>
          <w:tab w:val="num" w:pos="360"/>
        </w:tabs>
      </w:pPr>
    </w:lvl>
    <w:lvl w:ilvl="6" w:tplc="FC167B3E">
      <w:numFmt w:val="none"/>
      <w:lvlText w:val=""/>
      <w:lvlJc w:val="left"/>
      <w:pPr>
        <w:tabs>
          <w:tab w:val="num" w:pos="360"/>
        </w:tabs>
      </w:pPr>
    </w:lvl>
    <w:lvl w:ilvl="7" w:tplc="672221AC">
      <w:numFmt w:val="none"/>
      <w:lvlText w:val=""/>
      <w:lvlJc w:val="left"/>
      <w:pPr>
        <w:tabs>
          <w:tab w:val="num" w:pos="360"/>
        </w:tabs>
      </w:pPr>
    </w:lvl>
    <w:lvl w:ilvl="8" w:tplc="4BCC361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E596B3E"/>
    <w:multiLevelType w:val="hybridMultilevel"/>
    <w:tmpl w:val="595226C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A115CA4"/>
    <w:multiLevelType w:val="hybridMultilevel"/>
    <w:tmpl w:val="D6F87FFE"/>
    <w:lvl w:ilvl="0" w:tplc="95A4583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376D6"/>
    <w:multiLevelType w:val="hybridMultilevel"/>
    <w:tmpl w:val="BB64A2FE"/>
    <w:lvl w:ilvl="0" w:tplc="722C88E8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20FC"/>
    <w:multiLevelType w:val="hybridMultilevel"/>
    <w:tmpl w:val="2408A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6096"/>
    <w:multiLevelType w:val="hybridMultilevel"/>
    <w:tmpl w:val="CE88E47C"/>
    <w:lvl w:ilvl="0" w:tplc="069AAFE2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27B98"/>
    <w:multiLevelType w:val="hybridMultilevel"/>
    <w:tmpl w:val="878EB7D8"/>
    <w:lvl w:ilvl="0" w:tplc="681EA1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21182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F8976CD"/>
    <w:multiLevelType w:val="hybridMultilevel"/>
    <w:tmpl w:val="D9809CCE"/>
    <w:lvl w:ilvl="0" w:tplc="062E64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03D"/>
    <w:rsid w:val="000231A6"/>
    <w:rsid w:val="00023B48"/>
    <w:rsid w:val="000605E5"/>
    <w:rsid w:val="001A6E49"/>
    <w:rsid w:val="002213CD"/>
    <w:rsid w:val="00501B41"/>
    <w:rsid w:val="006D403D"/>
    <w:rsid w:val="00736110"/>
    <w:rsid w:val="009710D9"/>
    <w:rsid w:val="009F6590"/>
    <w:rsid w:val="00F24386"/>
    <w:rsid w:val="00F6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E48A"/>
  <w15:docId w15:val="{5E0193C4-C32D-4823-AD0F-30AC521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03D"/>
  </w:style>
  <w:style w:type="paragraph" w:styleId="Nadpis1">
    <w:name w:val="heading 1"/>
    <w:basedOn w:val="Normln"/>
    <w:next w:val="Normln"/>
    <w:link w:val="Nadpis1Char"/>
    <w:qFormat/>
    <w:rsid w:val="006D403D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6D403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Frutiger CE 45" w:eastAsia="Times New Roman" w:hAnsi="Frutiger CE 45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6D403D"/>
    <w:pPr>
      <w:keepNext/>
      <w:numPr>
        <w:ilvl w:val="2"/>
        <w:numId w:val="1"/>
      </w:numPr>
      <w:spacing w:after="0" w:line="240" w:lineRule="auto"/>
      <w:outlineLvl w:val="2"/>
    </w:pPr>
    <w:rPr>
      <w:rFonts w:ascii="Century Gothic" w:eastAsia="Arial Unicode MS" w:hAnsi="Century Gothic" w:cs="Arial Unicode MS"/>
      <w:b/>
      <w:bCs/>
      <w:sz w:val="20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D403D"/>
    <w:pPr>
      <w:keepNext/>
      <w:numPr>
        <w:ilvl w:val="3"/>
        <w:numId w:val="1"/>
      </w:numPr>
      <w:spacing w:after="0" w:line="240" w:lineRule="auto"/>
      <w:outlineLvl w:val="3"/>
    </w:pPr>
    <w:rPr>
      <w:rFonts w:ascii="Century Gothic" w:eastAsia="Arial Unicode MS" w:hAnsi="Century Gothic" w:cs="Arial Unicode MS"/>
      <w:b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D403D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entury Gothic" w:eastAsia="Arial Unicode MS" w:hAnsi="Century Gothic" w:cs="Arial Unicode MS"/>
      <w:sz w:val="20"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D403D"/>
    <w:pPr>
      <w:keepNext/>
      <w:numPr>
        <w:ilvl w:val="5"/>
        <w:numId w:val="1"/>
      </w:numPr>
      <w:spacing w:after="0" w:line="240" w:lineRule="auto"/>
      <w:outlineLvl w:val="5"/>
    </w:pPr>
    <w:rPr>
      <w:rFonts w:ascii="Century Gothic" w:eastAsia="Arial Unicode MS" w:hAnsi="Century Gothic" w:cs="Arial Unicode MS"/>
      <w:b/>
      <w:bCs/>
      <w:sz w:val="20"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D403D"/>
    <w:pPr>
      <w:keepNext/>
      <w:numPr>
        <w:ilvl w:val="6"/>
        <w:numId w:val="1"/>
      </w:numPr>
      <w:spacing w:after="0" w:line="240" w:lineRule="auto"/>
      <w:outlineLvl w:val="6"/>
    </w:pPr>
    <w:rPr>
      <w:rFonts w:ascii="Century Gothic" w:eastAsia="Times New Roman" w:hAnsi="Century Gothic" w:cs="Times New Roman"/>
      <w:sz w:val="20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D403D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D403D"/>
    <w:pPr>
      <w:keepNext/>
      <w:numPr>
        <w:ilvl w:val="8"/>
        <w:numId w:val="1"/>
      </w:numPr>
      <w:tabs>
        <w:tab w:val="left" w:pos="567"/>
      </w:tabs>
      <w:spacing w:after="0" w:line="240" w:lineRule="auto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403D"/>
    <w:rPr>
      <w:rFonts w:ascii="Arial" w:eastAsia="Times New Roman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6D403D"/>
    <w:rPr>
      <w:rFonts w:ascii="Frutiger CE 45" w:eastAsia="Times New Roman" w:hAnsi="Frutiger CE 45" w:cs="Times New Roman"/>
      <w:b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6D403D"/>
    <w:rPr>
      <w:rFonts w:ascii="Century Gothic" w:eastAsia="Arial Unicode MS" w:hAnsi="Century Gothic" w:cs="Arial Unicode MS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D403D"/>
    <w:rPr>
      <w:rFonts w:ascii="Century Gothic" w:eastAsia="Arial Unicode MS" w:hAnsi="Century Gothic" w:cs="Arial Unicode MS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D403D"/>
    <w:rPr>
      <w:rFonts w:ascii="Century Gothic" w:eastAsia="Arial Unicode MS" w:hAnsi="Century Gothic" w:cs="Arial Unicode MS"/>
      <w:sz w:val="20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6D403D"/>
    <w:rPr>
      <w:rFonts w:ascii="Century Gothic" w:eastAsia="Arial Unicode MS" w:hAnsi="Century Gothic" w:cs="Arial Unicode MS"/>
      <w:b/>
      <w:bCs/>
      <w:sz w:val="20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D403D"/>
    <w:rPr>
      <w:rFonts w:ascii="Century Gothic" w:eastAsia="Times New Roman" w:hAnsi="Century Gothic" w:cs="Times New Roman"/>
      <w:sz w:val="20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6D403D"/>
    <w:rPr>
      <w:rFonts w:ascii="Century Gothic" w:eastAsia="Times New Roman" w:hAnsi="Century Gothic" w:cs="Times New Roman"/>
      <w:b/>
      <w:bCs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D403D"/>
    <w:rPr>
      <w:rFonts w:ascii="Arial" w:eastAsia="Times New Roman" w:hAnsi="Arial" w:cs="Times New Roman"/>
      <w:b/>
      <w:bCs/>
      <w:szCs w:val="20"/>
    </w:rPr>
  </w:style>
  <w:style w:type="paragraph" w:styleId="Zkladntext">
    <w:name w:val="Body Text"/>
    <w:basedOn w:val="Normln"/>
    <w:link w:val="ZkladntextChar"/>
    <w:rsid w:val="006D403D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403D"/>
    <w:rPr>
      <w:rFonts w:ascii="Century Gothic" w:eastAsia="Times New Roman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D403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6D40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D403D"/>
    <w:rPr>
      <w:rFonts w:ascii="Times New Roman" w:eastAsia="Times New Roman" w:hAnsi="Times New Roman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6D403D"/>
    <w:pPr>
      <w:tabs>
        <w:tab w:val="num" w:pos="1440"/>
      </w:tabs>
      <w:suppressAutoHyphens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6D403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">
    <w:name w:val="Styl"/>
    <w:rsid w:val="006D4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403D"/>
    <w:pPr>
      <w:spacing w:after="0" w:line="240" w:lineRule="auto"/>
      <w:jc w:val="both"/>
    </w:pPr>
    <w:rPr>
      <w:sz w:val="24"/>
    </w:rPr>
  </w:style>
  <w:style w:type="character" w:customStyle="1" w:styleId="BezmezerChar">
    <w:name w:val="Bez mezer Char"/>
    <w:link w:val="Bezmezer"/>
    <w:uiPriority w:val="1"/>
    <w:rsid w:val="006D40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Moulisová Lucie</dc:creator>
  <cp:lastModifiedBy>Jágerová Lucie</cp:lastModifiedBy>
  <cp:revision>10</cp:revision>
  <dcterms:created xsi:type="dcterms:W3CDTF">2018-12-11T11:15:00Z</dcterms:created>
  <dcterms:modified xsi:type="dcterms:W3CDTF">2020-11-19T15:20:00Z</dcterms:modified>
</cp:coreProperties>
</file>